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CBD" w:rsidRPr="00E21FD2" w:rsidRDefault="00701D22" w:rsidP="00701D22">
      <w:pPr>
        <w:jc w:val="center"/>
        <w:rPr>
          <w:rFonts w:ascii="Times New Roman" w:hAnsi="Times New Roman" w:cs="Times New Roman"/>
          <w:b/>
          <w:sz w:val="24"/>
          <w:szCs w:val="24"/>
        </w:rPr>
      </w:pPr>
      <w:r w:rsidRPr="00E21FD2">
        <w:rPr>
          <w:rFonts w:ascii="Times New Roman" w:hAnsi="Times New Roman" w:cs="Times New Roman"/>
          <w:b/>
          <w:sz w:val="24"/>
          <w:szCs w:val="24"/>
        </w:rPr>
        <w:t>Validity and Reliability of Assessments</w:t>
      </w:r>
    </w:p>
    <w:p w:rsidR="00701D22" w:rsidRPr="00E21FD2" w:rsidRDefault="00701D22" w:rsidP="00701D22">
      <w:pPr>
        <w:jc w:val="center"/>
        <w:rPr>
          <w:rFonts w:ascii="Times New Roman" w:hAnsi="Times New Roman" w:cs="Times New Roman"/>
          <w:b/>
          <w:sz w:val="24"/>
          <w:szCs w:val="24"/>
        </w:rPr>
      </w:pPr>
      <w:r w:rsidRPr="00E21FD2">
        <w:rPr>
          <w:rFonts w:ascii="Times New Roman" w:hAnsi="Times New Roman" w:cs="Times New Roman"/>
          <w:b/>
          <w:sz w:val="24"/>
          <w:szCs w:val="24"/>
        </w:rPr>
        <w:t>The EPP’s Review and Plan</w:t>
      </w:r>
    </w:p>
    <w:p w:rsidR="00701D22" w:rsidRDefault="00701D22" w:rsidP="00701D22">
      <w:pPr>
        <w:rPr>
          <w:rFonts w:ascii="Times New Roman" w:hAnsi="Times New Roman" w:cs="Times New Roman"/>
          <w:sz w:val="24"/>
          <w:szCs w:val="24"/>
        </w:rPr>
      </w:pPr>
    </w:p>
    <w:p w:rsidR="00701D22" w:rsidRDefault="00701D22" w:rsidP="00701D22">
      <w:pPr>
        <w:rPr>
          <w:rFonts w:ascii="Times New Roman" w:hAnsi="Times New Roman" w:cs="Times New Roman"/>
          <w:sz w:val="24"/>
          <w:szCs w:val="24"/>
        </w:rPr>
      </w:pPr>
    </w:p>
    <w:p w:rsidR="00D071EE" w:rsidRPr="00D071EE" w:rsidRDefault="00701D22" w:rsidP="00D071EE">
      <w:pPr>
        <w:rPr>
          <w:rFonts w:ascii="Times New Roman" w:hAnsi="Times New Roman" w:cs="Times New Roman"/>
          <w:sz w:val="24"/>
          <w:szCs w:val="24"/>
        </w:rPr>
      </w:pPr>
      <w:r>
        <w:rPr>
          <w:rFonts w:ascii="Times New Roman" w:hAnsi="Times New Roman" w:cs="Times New Roman"/>
          <w:sz w:val="24"/>
          <w:szCs w:val="24"/>
        </w:rPr>
        <w:t xml:space="preserve">The EPP </w:t>
      </w:r>
      <w:r w:rsidRPr="00701D22">
        <w:rPr>
          <w:rFonts w:ascii="Times New Roman" w:hAnsi="Times New Roman" w:cs="Times New Roman"/>
          <w:sz w:val="24"/>
          <w:szCs w:val="24"/>
        </w:rPr>
        <w:t>recognizes the need to establish validity and reliability on a</w:t>
      </w:r>
      <w:r>
        <w:rPr>
          <w:rFonts w:ascii="Times New Roman" w:hAnsi="Times New Roman" w:cs="Times New Roman"/>
          <w:sz w:val="24"/>
          <w:szCs w:val="24"/>
        </w:rPr>
        <w:t xml:space="preserve">ll assessments used in the initial and advanced programs. </w:t>
      </w:r>
      <w:r w:rsidR="00D071EE" w:rsidRPr="00D071EE">
        <w:rPr>
          <w:rFonts w:ascii="Times New Roman" w:hAnsi="Times New Roman" w:cs="Times New Roman"/>
          <w:sz w:val="24"/>
          <w:szCs w:val="24"/>
        </w:rPr>
        <w:t>These assessments include:</w:t>
      </w:r>
    </w:p>
    <w:p w:rsidR="00D071EE" w:rsidRDefault="00D071EE" w:rsidP="00D071EE">
      <w:pPr>
        <w:pStyle w:val="ListParagraph"/>
        <w:numPr>
          <w:ilvl w:val="0"/>
          <w:numId w:val="1"/>
        </w:numPr>
        <w:rPr>
          <w:rFonts w:ascii="Times New Roman" w:hAnsi="Times New Roman" w:cs="Times New Roman"/>
          <w:sz w:val="24"/>
          <w:szCs w:val="24"/>
        </w:rPr>
      </w:pPr>
      <w:r w:rsidRPr="00D071EE">
        <w:rPr>
          <w:rFonts w:ascii="Times New Roman" w:hAnsi="Times New Roman" w:cs="Times New Roman"/>
          <w:sz w:val="24"/>
          <w:szCs w:val="24"/>
        </w:rPr>
        <w:t>Key assessments</w:t>
      </w:r>
      <w:r>
        <w:rPr>
          <w:rFonts w:ascii="Times New Roman" w:hAnsi="Times New Roman" w:cs="Times New Roman"/>
          <w:sz w:val="24"/>
          <w:szCs w:val="24"/>
        </w:rPr>
        <w:t xml:space="preserve"> used by the EPP throughout the Pathway to Teaching</w:t>
      </w:r>
      <w:r w:rsidRPr="00D071EE">
        <w:rPr>
          <w:rFonts w:ascii="Times New Roman" w:hAnsi="Times New Roman" w:cs="Times New Roman"/>
          <w:sz w:val="24"/>
          <w:szCs w:val="24"/>
        </w:rPr>
        <w:tab/>
      </w:r>
    </w:p>
    <w:p w:rsidR="00D071EE" w:rsidRDefault="00D071EE" w:rsidP="00D071EE">
      <w:pPr>
        <w:pStyle w:val="ListParagraph"/>
        <w:numPr>
          <w:ilvl w:val="0"/>
          <w:numId w:val="1"/>
        </w:numPr>
        <w:rPr>
          <w:rFonts w:ascii="Times New Roman" w:hAnsi="Times New Roman" w:cs="Times New Roman"/>
          <w:sz w:val="24"/>
          <w:szCs w:val="24"/>
        </w:rPr>
      </w:pPr>
      <w:r w:rsidRPr="00D071EE">
        <w:rPr>
          <w:rFonts w:ascii="Times New Roman" w:hAnsi="Times New Roman" w:cs="Times New Roman"/>
          <w:sz w:val="24"/>
          <w:szCs w:val="24"/>
        </w:rPr>
        <w:t>Clinical evaluations</w:t>
      </w:r>
    </w:p>
    <w:p w:rsidR="00AB2813" w:rsidRDefault="00AB2813" w:rsidP="00D071E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Performance assessments</w:t>
      </w:r>
    </w:p>
    <w:p w:rsidR="00D071EE" w:rsidRPr="00D071EE" w:rsidRDefault="00D071EE" w:rsidP="00D071E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Course embedded assessments</w:t>
      </w:r>
    </w:p>
    <w:p w:rsidR="00701D22" w:rsidRDefault="00D071EE" w:rsidP="00D071EE">
      <w:pPr>
        <w:rPr>
          <w:rFonts w:ascii="Times New Roman" w:hAnsi="Times New Roman" w:cs="Times New Roman"/>
          <w:sz w:val="24"/>
          <w:szCs w:val="24"/>
        </w:rPr>
      </w:pPr>
      <w:r w:rsidRPr="00D071EE">
        <w:rPr>
          <w:rFonts w:ascii="Times New Roman" w:hAnsi="Times New Roman" w:cs="Times New Roman"/>
          <w:sz w:val="24"/>
          <w:szCs w:val="24"/>
        </w:rPr>
        <w:t>In addition t</w:t>
      </w:r>
      <w:r>
        <w:rPr>
          <w:rFonts w:ascii="Times New Roman" w:hAnsi="Times New Roman" w:cs="Times New Roman"/>
          <w:sz w:val="24"/>
          <w:szCs w:val="24"/>
        </w:rPr>
        <w:t>o these assessments, other EPP</w:t>
      </w:r>
      <w:r w:rsidRPr="00D071EE">
        <w:rPr>
          <w:rFonts w:ascii="Times New Roman" w:hAnsi="Times New Roman" w:cs="Times New Roman"/>
          <w:sz w:val="24"/>
          <w:szCs w:val="24"/>
        </w:rPr>
        <w:t xml:space="preserve"> surveys/documents are reviewed.</w:t>
      </w:r>
    </w:p>
    <w:p w:rsidR="00D071EE" w:rsidRDefault="00D071EE" w:rsidP="00D071EE">
      <w:pPr>
        <w:rPr>
          <w:rFonts w:ascii="Times New Roman" w:hAnsi="Times New Roman" w:cs="Times New Roman"/>
          <w:sz w:val="24"/>
          <w:szCs w:val="24"/>
        </w:rPr>
      </w:pPr>
    </w:p>
    <w:p w:rsidR="00D071EE" w:rsidRDefault="00D071EE" w:rsidP="00D071EE">
      <w:pPr>
        <w:rPr>
          <w:rFonts w:ascii="Times New Roman" w:hAnsi="Times New Roman" w:cs="Times New Roman"/>
          <w:sz w:val="24"/>
          <w:szCs w:val="24"/>
        </w:rPr>
      </w:pPr>
      <w:r>
        <w:rPr>
          <w:rFonts w:ascii="Times New Roman" w:hAnsi="Times New Roman" w:cs="Times New Roman"/>
          <w:sz w:val="24"/>
          <w:szCs w:val="24"/>
        </w:rPr>
        <w:t>To begin the examination of these</w:t>
      </w:r>
      <w:r w:rsidR="00AB2813">
        <w:rPr>
          <w:rFonts w:ascii="Times New Roman" w:hAnsi="Times New Roman" w:cs="Times New Roman"/>
          <w:sz w:val="24"/>
          <w:szCs w:val="24"/>
        </w:rPr>
        <w:t xml:space="preserve"> assessments, the EPP conducted </w:t>
      </w:r>
      <w:r w:rsidRPr="00D071EE">
        <w:rPr>
          <w:rFonts w:ascii="Times New Roman" w:hAnsi="Times New Roman" w:cs="Times New Roman"/>
          <w:sz w:val="24"/>
          <w:szCs w:val="24"/>
        </w:rPr>
        <w:t xml:space="preserve">a detailed audit of the </w:t>
      </w:r>
      <w:r w:rsidR="00E21FD2">
        <w:rPr>
          <w:rFonts w:ascii="Times New Roman" w:hAnsi="Times New Roman" w:cs="Times New Roman"/>
          <w:sz w:val="24"/>
          <w:szCs w:val="24"/>
        </w:rPr>
        <w:t xml:space="preserve">key </w:t>
      </w:r>
      <w:r w:rsidRPr="00D071EE">
        <w:rPr>
          <w:rFonts w:ascii="Times New Roman" w:hAnsi="Times New Roman" w:cs="Times New Roman"/>
          <w:sz w:val="24"/>
          <w:szCs w:val="24"/>
        </w:rPr>
        <w:t>assessments as they align to the CAEP standards</w:t>
      </w:r>
      <w:r w:rsidR="00E21FD2">
        <w:rPr>
          <w:rFonts w:ascii="Times New Roman" w:hAnsi="Times New Roman" w:cs="Times New Roman"/>
          <w:sz w:val="24"/>
          <w:szCs w:val="24"/>
        </w:rPr>
        <w:t xml:space="preserve"> and </w:t>
      </w:r>
      <w:proofErr w:type="spellStart"/>
      <w:r w:rsidR="00E21FD2">
        <w:rPr>
          <w:rFonts w:ascii="Times New Roman" w:hAnsi="Times New Roman" w:cs="Times New Roman"/>
          <w:sz w:val="24"/>
          <w:szCs w:val="24"/>
        </w:rPr>
        <w:t>InTASC</w:t>
      </w:r>
      <w:proofErr w:type="spellEnd"/>
      <w:r w:rsidR="00E21FD2">
        <w:rPr>
          <w:rFonts w:ascii="Times New Roman" w:hAnsi="Times New Roman" w:cs="Times New Roman"/>
          <w:sz w:val="24"/>
          <w:szCs w:val="24"/>
        </w:rPr>
        <w:t xml:space="preserve"> standards.  The purpose of this audit was</w:t>
      </w:r>
      <w:r w:rsidR="00E21FD2" w:rsidRPr="00E21FD2">
        <w:rPr>
          <w:rFonts w:ascii="Times New Roman" w:hAnsi="Times New Roman" w:cs="Times New Roman"/>
          <w:sz w:val="24"/>
          <w:szCs w:val="24"/>
        </w:rPr>
        <w:t xml:space="preserve"> to provide evi</w:t>
      </w:r>
      <w:r w:rsidR="00E21FD2">
        <w:rPr>
          <w:rFonts w:ascii="Times New Roman" w:hAnsi="Times New Roman" w:cs="Times New Roman"/>
          <w:sz w:val="24"/>
          <w:szCs w:val="24"/>
        </w:rPr>
        <w:t>dence that the EPP</w:t>
      </w:r>
      <w:r w:rsidR="00E21FD2" w:rsidRPr="00E21FD2">
        <w:rPr>
          <w:rFonts w:ascii="Times New Roman" w:hAnsi="Times New Roman" w:cs="Times New Roman"/>
          <w:sz w:val="24"/>
          <w:szCs w:val="24"/>
        </w:rPr>
        <w:t xml:space="preserve"> has measures that “monitor candidate progress, completer achievements, and operational effectiveness aligned with all CAEP standards.”</w:t>
      </w:r>
      <w:r w:rsidR="00E21FD2">
        <w:rPr>
          <w:rFonts w:ascii="Times New Roman" w:hAnsi="Times New Roman" w:cs="Times New Roman"/>
          <w:sz w:val="24"/>
          <w:szCs w:val="24"/>
        </w:rPr>
        <w:t xml:space="preserve"> Much of this was accomplished through the development of the EPP’s Quality Assurance System.  The information in this document presents a review of the key assessments and the EPP’s process and plan for establishing the validity and reliability of key assessments. </w:t>
      </w:r>
    </w:p>
    <w:p w:rsidR="00E21FD2" w:rsidRDefault="00E21FD2" w:rsidP="00D071EE">
      <w:pPr>
        <w:rPr>
          <w:rFonts w:ascii="Times New Roman" w:hAnsi="Times New Roman" w:cs="Times New Roman"/>
          <w:sz w:val="24"/>
          <w:szCs w:val="24"/>
        </w:rPr>
      </w:pPr>
    </w:p>
    <w:p w:rsidR="00E21FD2" w:rsidRDefault="00E21FD2" w:rsidP="00D071EE">
      <w:pPr>
        <w:rPr>
          <w:rFonts w:ascii="Times New Roman" w:hAnsi="Times New Roman" w:cs="Times New Roman"/>
          <w:b/>
          <w:sz w:val="24"/>
          <w:szCs w:val="24"/>
        </w:rPr>
      </w:pPr>
      <w:r w:rsidRPr="00E21FD2">
        <w:rPr>
          <w:rFonts w:ascii="Times New Roman" w:hAnsi="Times New Roman" w:cs="Times New Roman"/>
          <w:b/>
          <w:sz w:val="24"/>
          <w:szCs w:val="24"/>
        </w:rPr>
        <w:t>Review of Assessments</w:t>
      </w:r>
    </w:p>
    <w:p w:rsidR="00E21FD2" w:rsidRDefault="00E21FD2" w:rsidP="00D071EE">
      <w:pPr>
        <w:rPr>
          <w:rFonts w:ascii="Times New Roman" w:hAnsi="Times New Roman" w:cs="Times New Roman"/>
          <w:b/>
          <w:sz w:val="24"/>
          <w:szCs w:val="24"/>
        </w:rPr>
      </w:pPr>
    </w:p>
    <w:p w:rsidR="00E21FD2" w:rsidRDefault="00E21FD2" w:rsidP="00D071EE">
      <w:pPr>
        <w:rPr>
          <w:rFonts w:ascii="Times New Roman" w:hAnsi="Times New Roman" w:cs="Times New Roman"/>
          <w:sz w:val="24"/>
          <w:szCs w:val="24"/>
        </w:rPr>
      </w:pPr>
      <w:r>
        <w:rPr>
          <w:rFonts w:ascii="Times New Roman" w:hAnsi="Times New Roman" w:cs="Times New Roman"/>
          <w:sz w:val="24"/>
          <w:szCs w:val="24"/>
        </w:rPr>
        <w:t xml:space="preserve">The EPP started by identifying assessments that were used </w:t>
      </w:r>
      <w:r w:rsidR="00AB2813">
        <w:rPr>
          <w:rFonts w:ascii="Times New Roman" w:hAnsi="Times New Roman" w:cs="Times New Roman"/>
          <w:sz w:val="24"/>
          <w:szCs w:val="24"/>
        </w:rPr>
        <w:t xml:space="preserve">at </w:t>
      </w:r>
      <w:r>
        <w:rPr>
          <w:rFonts w:ascii="Times New Roman" w:hAnsi="Times New Roman" w:cs="Times New Roman"/>
          <w:sz w:val="24"/>
          <w:szCs w:val="24"/>
        </w:rPr>
        <w:t>each of the t</w:t>
      </w:r>
      <w:r w:rsidR="00AB2813">
        <w:rPr>
          <w:rFonts w:ascii="Times New Roman" w:hAnsi="Times New Roman" w:cs="Times New Roman"/>
          <w:sz w:val="24"/>
          <w:szCs w:val="24"/>
        </w:rPr>
        <w:t>ransition points on the Pathway</w:t>
      </w:r>
      <w:r>
        <w:rPr>
          <w:rFonts w:ascii="Times New Roman" w:hAnsi="Times New Roman" w:cs="Times New Roman"/>
          <w:sz w:val="24"/>
          <w:szCs w:val="24"/>
        </w:rPr>
        <w:t xml:space="preserve"> to Teaching.  Original</w:t>
      </w:r>
      <w:r w:rsidR="00AB2813">
        <w:rPr>
          <w:rFonts w:ascii="Times New Roman" w:hAnsi="Times New Roman" w:cs="Times New Roman"/>
          <w:sz w:val="24"/>
          <w:szCs w:val="24"/>
        </w:rPr>
        <w:t xml:space="preserve">ly, the EPP had four transition points that were used to monitor candidate progress and completer achievements: admission to the teacher education program, admission to student teaching, completion of the program, and follow-up surveys. With the transition to the yearlong residency model for elementary and secondary majors in the undergraduate program, the EPP added a fifth transition point which allowed for closer monitoring of candidates after admission to the program and before admission to student teaching. </w:t>
      </w:r>
      <w:r w:rsidR="003A42E3" w:rsidRPr="003A42E3">
        <w:rPr>
          <w:rFonts w:ascii="Times New Roman" w:hAnsi="Times New Roman" w:cs="Times New Roman"/>
          <w:sz w:val="24"/>
          <w:szCs w:val="24"/>
          <w:highlight w:val="yellow"/>
        </w:rPr>
        <w:t>(See Attachment A:</w:t>
      </w:r>
      <w:r w:rsidR="003A42E3">
        <w:rPr>
          <w:rFonts w:ascii="Times New Roman" w:hAnsi="Times New Roman" w:cs="Times New Roman"/>
          <w:sz w:val="24"/>
          <w:szCs w:val="24"/>
        </w:rPr>
        <w:t xml:space="preserve"> Key Assessment Matrix)</w:t>
      </w:r>
    </w:p>
    <w:p w:rsidR="00AB2813" w:rsidRDefault="00AB2813" w:rsidP="00D071EE">
      <w:pPr>
        <w:rPr>
          <w:rFonts w:ascii="Times New Roman" w:hAnsi="Times New Roman" w:cs="Times New Roman"/>
          <w:sz w:val="24"/>
          <w:szCs w:val="24"/>
        </w:rPr>
      </w:pPr>
    </w:p>
    <w:p w:rsidR="003A42E3" w:rsidRDefault="00AB2813" w:rsidP="00D071EE">
      <w:pPr>
        <w:rPr>
          <w:rFonts w:ascii="Times New Roman" w:hAnsi="Times New Roman" w:cs="Times New Roman"/>
          <w:sz w:val="24"/>
          <w:szCs w:val="24"/>
        </w:rPr>
      </w:pPr>
      <w:r>
        <w:rPr>
          <w:rFonts w:ascii="Times New Roman" w:hAnsi="Times New Roman" w:cs="Times New Roman"/>
          <w:sz w:val="24"/>
          <w:szCs w:val="24"/>
        </w:rPr>
        <w:t>Next, the EPP discussed the assessments that were required by the WVDE in Policy 5100</w:t>
      </w:r>
      <w:r w:rsidR="003A42E3">
        <w:rPr>
          <w:rFonts w:ascii="Times New Roman" w:hAnsi="Times New Roman" w:cs="Times New Roman"/>
          <w:sz w:val="24"/>
          <w:szCs w:val="24"/>
        </w:rPr>
        <w:t>, Approval of Educator Preparation Programs</w:t>
      </w:r>
      <w:r>
        <w:rPr>
          <w:rFonts w:ascii="Times New Roman" w:hAnsi="Times New Roman" w:cs="Times New Roman"/>
          <w:sz w:val="24"/>
          <w:szCs w:val="24"/>
        </w:rPr>
        <w:t xml:space="preserve">.  The WVDE requires that candidates successfully complete the Praxis Core assessments in reading, writing and </w:t>
      </w:r>
      <w:r w:rsidR="003A42E3">
        <w:rPr>
          <w:rFonts w:ascii="Times New Roman" w:hAnsi="Times New Roman" w:cs="Times New Roman"/>
          <w:sz w:val="24"/>
          <w:szCs w:val="24"/>
        </w:rPr>
        <w:t xml:space="preserve">mathematics prior to admission to the teacher education program. Additionally, the WVDE requires that candidates have successfully completed the Praxis PLT and Praxis II subject assessments within their content areas prior to student teaching.  Praxis tests are accepted by CAEP as valid and reliable assessments of candidate knowledge. </w:t>
      </w:r>
    </w:p>
    <w:p w:rsidR="003A42E3" w:rsidRDefault="003A42E3" w:rsidP="00D071EE">
      <w:pPr>
        <w:rPr>
          <w:rFonts w:ascii="Times New Roman" w:hAnsi="Times New Roman" w:cs="Times New Roman"/>
          <w:sz w:val="24"/>
          <w:szCs w:val="24"/>
        </w:rPr>
      </w:pPr>
    </w:p>
    <w:p w:rsidR="00D071EE" w:rsidRDefault="003A42E3" w:rsidP="00D071EE">
      <w:pPr>
        <w:rPr>
          <w:rFonts w:ascii="Times New Roman" w:hAnsi="Times New Roman" w:cs="Times New Roman"/>
          <w:sz w:val="24"/>
          <w:szCs w:val="24"/>
        </w:rPr>
      </w:pPr>
      <w:r>
        <w:rPr>
          <w:rFonts w:ascii="Times New Roman" w:hAnsi="Times New Roman" w:cs="Times New Roman"/>
          <w:sz w:val="24"/>
          <w:szCs w:val="24"/>
        </w:rPr>
        <w:t>The WVDE also requires that during student teaching, candidates are evaluated through a performance assessment based upon the WV Professional Teaching Standards</w:t>
      </w:r>
      <w:r w:rsidR="00BF2709">
        <w:rPr>
          <w:rFonts w:ascii="Times New Roman" w:hAnsi="Times New Roman" w:cs="Times New Roman"/>
          <w:sz w:val="24"/>
          <w:szCs w:val="24"/>
        </w:rPr>
        <w:t>. A review of the EPP’s student teacher final evaluation found that this performance assessment did not meet CAEP sufficiency for EPP created assessments. During fall 2018 the West Virginia Evaluation Rubric for Teachers</w:t>
      </w:r>
      <w:r w:rsidR="00873061">
        <w:rPr>
          <w:rFonts w:ascii="Times New Roman" w:hAnsi="Times New Roman" w:cs="Times New Roman"/>
          <w:sz w:val="24"/>
          <w:szCs w:val="24"/>
        </w:rPr>
        <w:t xml:space="preserve"> (WVERT)</w:t>
      </w:r>
      <w:r w:rsidR="00BF2709">
        <w:rPr>
          <w:rFonts w:ascii="Times New Roman" w:hAnsi="Times New Roman" w:cs="Times New Roman"/>
          <w:sz w:val="24"/>
          <w:szCs w:val="24"/>
        </w:rPr>
        <w:t xml:space="preserve"> a proprietary instrument developed by the WVDE was piloted for student teachers. The WVERT was used during spring 2019; however the EPP had also decided to pilot the North Dakota Student Teacher Observation Tool (STOT) with a group of student </w:t>
      </w:r>
      <w:r w:rsidR="00BF2709">
        <w:rPr>
          <w:rFonts w:ascii="Times New Roman" w:hAnsi="Times New Roman" w:cs="Times New Roman"/>
          <w:sz w:val="24"/>
          <w:szCs w:val="24"/>
        </w:rPr>
        <w:lastRenderedPageBreak/>
        <w:t xml:space="preserve">teachers during spring 2019.  The STOT is a proprietary instrument of the North Dakota </w:t>
      </w:r>
      <w:r w:rsidR="00873061">
        <w:rPr>
          <w:rFonts w:ascii="Times New Roman" w:hAnsi="Times New Roman" w:cs="Times New Roman"/>
          <w:sz w:val="24"/>
          <w:szCs w:val="24"/>
        </w:rPr>
        <w:t>A</w:t>
      </w:r>
      <w:r w:rsidR="00BF2709">
        <w:rPr>
          <w:rFonts w:ascii="Times New Roman" w:hAnsi="Times New Roman" w:cs="Times New Roman"/>
          <w:sz w:val="24"/>
          <w:szCs w:val="24"/>
        </w:rPr>
        <w:t xml:space="preserve">ACTE. The EPP plans to continue using both the WVERT and the STOT during fall 2019 and spring 2020.  </w:t>
      </w:r>
      <w:r w:rsidR="00FA3795">
        <w:rPr>
          <w:rFonts w:ascii="Times New Roman" w:hAnsi="Times New Roman" w:cs="Times New Roman"/>
          <w:sz w:val="24"/>
          <w:szCs w:val="24"/>
        </w:rPr>
        <w:t>The West Virginia Teacher Performance Assessment</w:t>
      </w:r>
      <w:r w:rsidR="00873061">
        <w:rPr>
          <w:rFonts w:ascii="Times New Roman" w:hAnsi="Times New Roman" w:cs="Times New Roman"/>
          <w:sz w:val="24"/>
          <w:szCs w:val="24"/>
        </w:rPr>
        <w:t xml:space="preserve"> (WVTPA)</w:t>
      </w:r>
      <w:r w:rsidR="00FA3795">
        <w:rPr>
          <w:rFonts w:ascii="Times New Roman" w:hAnsi="Times New Roman" w:cs="Times New Roman"/>
          <w:sz w:val="24"/>
          <w:szCs w:val="24"/>
        </w:rPr>
        <w:t xml:space="preserve"> is also completed</w:t>
      </w:r>
      <w:r w:rsidR="0043489A">
        <w:rPr>
          <w:rFonts w:ascii="Times New Roman" w:hAnsi="Times New Roman" w:cs="Times New Roman"/>
          <w:sz w:val="24"/>
          <w:szCs w:val="24"/>
        </w:rPr>
        <w:t xml:space="preserve"> by student teachers. The WVTPA </w:t>
      </w:r>
      <w:r w:rsidR="0043489A" w:rsidRPr="0043489A">
        <w:rPr>
          <w:rFonts w:ascii="Times New Roman" w:hAnsi="Times New Roman" w:cs="Times New Roman"/>
          <w:sz w:val="24"/>
          <w:szCs w:val="24"/>
        </w:rPr>
        <w:t>is considered proprietary according to the WVDE.</w:t>
      </w:r>
    </w:p>
    <w:p w:rsidR="0043489A" w:rsidRDefault="0043489A" w:rsidP="00D071EE">
      <w:pPr>
        <w:rPr>
          <w:rFonts w:ascii="Times New Roman" w:hAnsi="Times New Roman" w:cs="Times New Roman"/>
          <w:sz w:val="24"/>
          <w:szCs w:val="24"/>
        </w:rPr>
      </w:pPr>
    </w:p>
    <w:p w:rsidR="0043489A" w:rsidRDefault="0043489A" w:rsidP="0043489A">
      <w:pPr>
        <w:rPr>
          <w:rFonts w:ascii="Times New Roman" w:hAnsi="Times New Roman" w:cs="Times New Roman"/>
          <w:sz w:val="24"/>
          <w:szCs w:val="24"/>
        </w:rPr>
      </w:pPr>
      <w:r>
        <w:rPr>
          <w:rFonts w:ascii="Times New Roman" w:hAnsi="Times New Roman" w:cs="Times New Roman"/>
          <w:sz w:val="24"/>
          <w:szCs w:val="24"/>
        </w:rPr>
        <w:t xml:space="preserve">During fall 2017, the EPP explored means for assessing candidate dispositions.  Up to this point, the GRIT scale had been used to determine candidate dispositions, but the EPP did not feel that </w:t>
      </w:r>
      <w:r w:rsidR="00873061">
        <w:rPr>
          <w:rFonts w:ascii="Times New Roman" w:hAnsi="Times New Roman" w:cs="Times New Roman"/>
          <w:sz w:val="24"/>
          <w:szCs w:val="24"/>
        </w:rPr>
        <w:t>t</w:t>
      </w:r>
      <w:r>
        <w:rPr>
          <w:rFonts w:ascii="Times New Roman" w:hAnsi="Times New Roman" w:cs="Times New Roman"/>
          <w:sz w:val="24"/>
          <w:szCs w:val="24"/>
        </w:rPr>
        <w:t>his met CAEP requirements.  The EPP developed a disposition assessment following the use of a Q-sort of components necessary for inclusion in the disposition assessment.  Once the components had</w:t>
      </w:r>
      <w:r w:rsidRPr="0043489A">
        <w:rPr>
          <w:rFonts w:ascii="Times New Roman" w:hAnsi="Times New Roman" w:cs="Times New Roman"/>
          <w:sz w:val="24"/>
          <w:szCs w:val="24"/>
        </w:rPr>
        <w:t xml:space="preserve"> been selected</w:t>
      </w:r>
      <w:r>
        <w:rPr>
          <w:rFonts w:ascii="Times New Roman" w:hAnsi="Times New Roman" w:cs="Times New Roman"/>
          <w:sz w:val="24"/>
          <w:szCs w:val="24"/>
        </w:rPr>
        <w:t>, the list was shared with a group of 24</w:t>
      </w:r>
      <w:r w:rsidRPr="0043489A">
        <w:rPr>
          <w:rFonts w:ascii="Times New Roman" w:hAnsi="Times New Roman" w:cs="Times New Roman"/>
          <w:sz w:val="24"/>
          <w:szCs w:val="24"/>
        </w:rPr>
        <w:t xml:space="preserve"> experts</w:t>
      </w:r>
      <w:r>
        <w:rPr>
          <w:rFonts w:ascii="Times New Roman" w:hAnsi="Times New Roman" w:cs="Times New Roman"/>
          <w:sz w:val="24"/>
          <w:szCs w:val="24"/>
        </w:rPr>
        <w:t xml:space="preserve"> (EPP faculty and P-12 teachers and administrators) who</w:t>
      </w:r>
      <w:r w:rsidRPr="0043489A">
        <w:rPr>
          <w:rFonts w:ascii="Times New Roman" w:hAnsi="Times New Roman" w:cs="Times New Roman"/>
          <w:sz w:val="24"/>
          <w:szCs w:val="24"/>
        </w:rPr>
        <w:t xml:space="preserve"> select</w:t>
      </w:r>
      <w:r>
        <w:rPr>
          <w:rFonts w:ascii="Times New Roman" w:hAnsi="Times New Roman" w:cs="Times New Roman"/>
          <w:sz w:val="24"/>
          <w:szCs w:val="24"/>
        </w:rPr>
        <w:t xml:space="preserve">ed </w:t>
      </w:r>
      <w:r w:rsidRPr="0043489A">
        <w:rPr>
          <w:rFonts w:ascii="Times New Roman" w:hAnsi="Times New Roman" w:cs="Times New Roman"/>
          <w:sz w:val="24"/>
          <w:szCs w:val="24"/>
        </w:rPr>
        <w:t>th</w:t>
      </w:r>
      <w:r>
        <w:rPr>
          <w:rFonts w:ascii="Times New Roman" w:hAnsi="Times New Roman" w:cs="Times New Roman"/>
          <w:sz w:val="24"/>
          <w:szCs w:val="24"/>
        </w:rPr>
        <w:t xml:space="preserve">e components that were </w:t>
      </w:r>
      <w:r w:rsidRPr="0043489A">
        <w:rPr>
          <w:rFonts w:ascii="Times New Roman" w:hAnsi="Times New Roman" w:cs="Times New Roman"/>
          <w:sz w:val="24"/>
          <w:szCs w:val="24"/>
        </w:rPr>
        <w:t xml:space="preserve">most important </w:t>
      </w: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Lawshe’</w:t>
      </w:r>
      <w:r w:rsidR="00965833">
        <w:rPr>
          <w:rFonts w:ascii="Times New Roman" w:hAnsi="Times New Roman" w:cs="Times New Roman"/>
          <w:sz w:val="24"/>
          <w:szCs w:val="24"/>
        </w:rPr>
        <w:t>s</w:t>
      </w:r>
      <w:proofErr w:type="spellEnd"/>
      <w:r w:rsidR="00965833">
        <w:rPr>
          <w:rFonts w:ascii="Times New Roman" w:hAnsi="Times New Roman" w:cs="Times New Roman"/>
          <w:sz w:val="24"/>
          <w:szCs w:val="24"/>
        </w:rPr>
        <w:t xml:space="preserve"> Conten</w:t>
      </w:r>
      <w:r w:rsidR="00873061">
        <w:rPr>
          <w:rFonts w:ascii="Times New Roman" w:hAnsi="Times New Roman" w:cs="Times New Roman"/>
          <w:sz w:val="24"/>
          <w:szCs w:val="24"/>
        </w:rPr>
        <w:t>t Validity Ratio</w:t>
      </w:r>
      <w:r>
        <w:rPr>
          <w:rFonts w:ascii="Times New Roman" w:hAnsi="Times New Roman" w:cs="Times New Roman"/>
          <w:sz w:val="24"/>
          <w:szCs w:val="24"/>
        </w:rPr>
        <w:t>. Following this, the rubric was prepared and presented t</w:t>
      </w:r>
      <w:r w:rsidR="00965833">
        <w:rPr>
          <w:rFonts w:ascii="Times New Roman" w:hAnsi="Times New Roman" w:cs="Times New Roman"/>
          <w:sz w:val="24"/>
          <w:szCs w:val="24"/>
        </w:rPr>
        <w:t>o the expert group for approval. The EPP created Disposition Assessment was implemented during the spring 2018 and fall 2018 semesters. Believing that the EPP created Disposition Assessment could be improved, the EPP explored the use of Watermark’s Educator Disposition Assessment (EDA), a proprietary instrument, during fall 2018.  Faculty completed calibration training in January 2019 and the EDA was used during this semester for candidates applying for admission to the teacher education program.</w:t>
      </w:r>
    </w:p>
    <w:p w:rsidR="00965833" w:rsidRDefault="00965833" w:rsidP="0043489A">
      <w:pPr>
        <w:rPr>
          <w:rFonts w:ascii="Times New Roman" w:hAnsi="Times New Roman" w:cs="Times New Roman"/>
          <w:sz w:val="24"/>
          <w:szCs w:val="24"/>
        </w:rPr>
      </w:pPr>
    </w:p>
    <w:p w:rsidR="00965833" w:rsidRDefault="00965833" w:rsidP="0043489A">
      <w:pPr>
        <w:rPr>
          <w:rFonts w:ascii="Times New Roman" w:hAnsi="Times New Roman" w:cs="Times New Roman"/>
          <w:sz w:val="24"/>
          <w:szCs w:val="24"/>
        </w:rPr>
      </w:pPr>
      <w:r>
        <w:rPr>
          <w:rFonts w:ascii="Times New Roman" w:hAnsi="Times New Roman" w:cs="Times New Roman"/>
          <w:sz w:val="24"/>
          <w:szCs w:val="24"/>
        </w:rPr>
        <w:t>The process for developing the EPP’s Disposition Assessment also served the purpose for revising the requirements for the Teacher Candidate Portfolio (TCP) required for admission to the teacher education program.  The TCP was designed to reflect dispositions as identified as essential</w:t>
      </w:r>
      <w:r w:rsidR="006A7267">
        <w:rPr>
          <w:rFonts w:ascii="Times New Roman" w:hAnsi="Times New Roman" w:cs="Times New Roman"/>
          <w:sz w:val="24"/>
          <w:szCs w:val="24"/>
        </w:rPr>
        <w:t>.  Candidates provide</w:t>
      </w:r>
      <w:r>
        <w:rPr>
          <w:rFonts w:ascii="Times New Roman" w:hAnsi="Times New Roman" w:cs="Times New Roman"/>
          <w:sz w:val="24"/>
          <w:szCs w:val="24"/>
        </w:rPr>
        <w:t xml:space="preserve"> artifacts</w:t>
      </w:r>
      <w:r w:rsidR="006A7267">
        <w:rPr>
          <w:rFonts w:ascii="Times New Roman" w:hAnsi="Times New Roman" w:cs="Times New Roman"/>
          <w:sz w:val="24"/>
          <w:szCs w:val="24"/>
        </w:rPr>
        <w:t xml:space="preserve"> documenting their belief that all students can learn, their ability to be teacher leaders, their openness to change and new ideas, their use of reflection for professional growth, and their positive response to feedback for professional growth.  The TCP was piloted during the spring 2018 semester, and has continued to be used as a way to assess candidate dispositions.  During spring 2019, the EPP engaged in a study of inter-rater reliability of the TCP and plans to continue this during the 2019-20 academic year.</w:t>
      </w:r>
    </w:p>
    <w:p w:rsidR="006A7267" w:rsidRDefault="006A7267" w:rsidP="0043489A">
      <w:pPr>
        <w:rPr>
          <w:rFonts w:ascii="Times New Roman" w:hAnsi="Times New Roman" w:cs="Times New Roman"/>
          <w:sz w:val="24"/>
          <w:szCs w:val="24"/>
        </w:rPr>
      </w:pPr>
    </w:p>
    <w:p w:rsidR="006A7267" w:rsidRDefault="006A7267" w:rsidP="0043489A">
      <w:pPr>
        <w:rPr>
          <w:rFonts w:ascii="Times New Roman" w:hAnsi="Times New Roman" w:cs="Times New Roman"/>
          <w:sz w:val="24"/>
          <w:szCs w:val="24"/>
        </w:rPr>
      </w:pPr>
      <w:r>
        <w:rPr>
          <w:rFonts w:ascii="Times New Roman" w:hAnsi="Times New Roman" w:cs="Times New Roman"/>
          <w:sz w:val="24"/>
          <w:szCs w:val="24"/>
        </w:rPr>
        <w:t xml:space="preserve">Field experience evaluation tools were reviewed and, based upon response from mentor teachers who completed these evaluations, these evaluations were revised completely.  During spring 2019, the EPP </w:t>
      </w:r>
      <w:r w:rsidR="00873061">
        <w:rPr>
          <w:rFonts w:ascii="Times New Roman" w:hAnsi="Times New Roman" w:cs="Times New Roman"/>
          <w:sz w:val="24"/>
          <w:szCs w:val="24"/>
        </w:rPr>
        <w:t>and the Concord-Teacher Educator Council (C-TE</w:t>
      </w:r>
      <w:r>
        <w:rPr>
          <w:rFonts w:ascii="Times New Roman" w:hAnsi="Times New Roman" w:cs="Times New Roman"/>
          <w:sz w:val="24"/>
          <w:szCs w:val="24"/>
        </w:rPr>
        <w:t>C) collaborated to create new field experience evaluation tools for Level I, II, III, and IV field experiences</w:t>
      </w:r>
      <w:r w:rsidR="00962A2B">
        <w:rPr>
          <w:rFonts w:ascii="Times New Roman" w:hAnsi="Times New Roman" w:cs="Times New Roman"/>
          <w:sz w:val="24"/>
          <w:szCs w:val="24"/>
        </w:rPr>
        <w:t xml:space="preserve">.  Using the ten </w:t>
      </w:r>
      <w:proofErr w:type="spellStart"/>
      <w:r w:rsidR="00962A2B">
        <w:rPr>
          <w:rFonts w:ascii="Times New Roman" w:hAnsi="Times New Roman" w:cs="Times New Roman"/>
          <w:sz w:val="24"/>
          <w:szCs w:val="24"/>
        </w:rPr>
        <w:t>InTASC</w:t>
      </w:r>
      <w:proofErr w:type="spellEnd"/>
      <w:r w:rsidR="00962A2B">
        <w:rPr>
          <w:rFonts w:ascii="Times New Roman" w:hAnsi="Times New Roman" w:cs="Times New Roman"/>
          <w:sz w:val="24"/>
          <w:szCs w:val="24"/>
        </w:rPr>
        <w:t xml:space="preserve"> Standards, the experts determined which </w:t>
      </w:r>
      <w:proofErr w:type="spellStart"/>
      <w:r w:rsidR="00962A2B">
        <w:rPr>
          <w:rFonts w:ascii="Times New Roman" w:hAnsi="Times New Roman" w:cs="Times New Roman"/>
          <w:sz w:val="24"/>
          <w:szCs w:val="24"/>
        </w:rPr>
        <w:t>InTASC</w:t>
      </w:r>
      <w:proofErr w:type="spellEnd"/>
      <w:r w:rsidR="00962A2B">
        <w:rPr>
          <w:rFonts w:ascii="Times New Roman" w:hAnsi="Times New Roman" w:cs="Times New Roman"/>
          <w:sz w:val="24"/>
          <w:szCs w:val="24"/>
        </w:rPr>
        <w:t xml:space="preserve"> Standards were most appropriate for the requirements of each field experience level.  The group also examined the STOT, and the rubric used in the STOT was approved to be used corresponding to the </w:t>
      </w:r>
      <w:proofErr w:type="spellStart"/>
      <w:r w:rsidR="00962A2B">
        <w:rPr>
          <w:rFonts w:ascii="Times New Roman" w:hAnsi="Times New Roman" w:cs="Times New Roman"/>
          <w:sz w:val="24"/>
          <w:szCs w:val="24"/>
        </w:rPr>
        <w:t>InTASC</w:t>
      </w:r>
      <w:proofErr w:type="spellEnd"/>
      <w:r w:rsidR="00962A2B">
        <w:rPr>
          <w:rFonts w:ascii="Times New Roman" w:hAnsi="Times New Roman" w:cs="Times New Roman"/>
          <w:sz w:val="24"/>
          <w:szCs w:val="24"/>
        </w:rPr>
        <w:t xml:space="preserve"> Standard assessed at each level.  The new field experience evaluations will be piloted during fall 2019.</w:t>
      </w:r>
    </w:p>
    <w:p w:rsidR="00962A2B" w:rsidRDefault="00962A2B" w:rsidP="0043489A">
      <w:pPr>
        <w:rPr>
          <w:rFonts w:ascii="Times New Roman" w:hAnsi="Times New Roman" w:cs="Times New Roman"/>
          <w:sz w:val="24"/>
          <w:szCs w:val="24"/>
        </w:rPr>
      </w:pPr>
    </w:p>
    <w:p w:rsidR="002233E8" w:rsidRDefault="00962A2B" w:rsidP="0043489A">
      <w:pPr>
        <w:rPr>
          <w:rFonts w:ascii="Times New Roman" w:hAnsi="Times New Roman" w:cs="Times New Roman"/>
          <w:sz w:val="24"/>
          <w:szCs w:val="24"/>
        </w:rPr>
      </w:pPr>
      <w:r>
        <w:rPr>
          <w:rFonts w:ascii="Times New Roman" w:hAnsi="Times New Roman" w:cs="Times New Roman"/>
          <w:sz w:val="24"/>
          <w:szCs w:val="24"/>
        </w:rPr>
        <w:t xml:space="preserve">The EPP uses a variety of surveys for monitoring completers.  Two EPP created surveys seek feedback from completers and supervisors.  Three surveys from the Network </w:t>
      </w:r>
      <w:r w:rsidR="002233E8">
        <w:rPr>
          <w:rFonts w:ascii="Times New Roman" w:hAnsi="Times New Roman" w:cs="Times New Roman"/>
          <w:sz w:val="24"/>
          <w:szCs w:val="24"/>
        </w:rPr>
        <w:t>for Excellence in Teaching (</w:t>
      </w:r>
      <w:proofErr w:type="spellStart"/>
      <w:r w:rsidR="002233E8">
        <w:rPr>
          <w:rFonts w:ascii="Times New Roman" w:hAnsi="Times New Roman" w:cs="Times New Roman"/>
          <w:sz w:val="24"/>
          <w:szCs w:val="24"/>
        </w:rPr>
        <w:t>NExT</w:t>
      </w:r>
      <w:proofErr w:type="spellEnd"/>
      <w:r w:rsidR="002233E8">
        <w:rPr>
          <w:rFonts w:ascii="Times New Roman" w:hAnsi="Times New Roman" w:cs="Times New Roman"/>
          <w:sz w:val="24"/>
          <w:szCs w:val="24"/>
        </w:rPr>
        <w:t>) – the Exit survey, the Transition to Teaching Survey, and the Supervisor Survey – provide extended data about the achievements of completers and the impact they are having in the classroom.  To strengthen this, the EPP developed a plan for conducting case studies of completers that involves a three year follow-up.  The beginning phase of this case s</w:t>
      </w:r>
      <w:r w:rsidR="00873061">
        <w:rPr>
          <w:rFonts w:ascii="Times New Roman" w:hAnsi="Times New Roman" w:cs="Times New Roman"/>
          <w:sz w:val="24"/>
          <w:szCs w:val="24"/>
        </w:rPr>
        <w:t>tudy was piloted during the 2017-18</w:t>
      </w:r>
      <w:r w:rsidR="002233E8">
        <w:rPr>
          <w:rFonts w:ascii="Times New Roman" w:hAnsi="Times New Roman" w:cs="Times New Roman"/>
          <w:sz w:val="24"/>
          <w:szCs w:val="24"/>
        </w:rPr>
        <w:t xml:space="preserve"> academic year.</w:t>
      </w:r>
    </w:p>
    <w:p w:rsidR="00962A2B" w:rsidRDefault="00962A2B" w:rsidP="0043489A">
      <w:pPr>
        <w:rPr>
          <w:rFonts w:ascii="Times New Roman" w:hAnsi="Times New Roman" w:cs="Times New Roman"/>
          <w:sz w:val="24"/>
          <w:szCs w:val="24"/>
        </w:rPr>
      </w:pPr>
    </w:p>
    <w:p w:rsidR="00A04FA1" w:rsidRDefault="00962A2B" w:rsidP="00367329">
      <w:pPr>
        <w:rPr>
          <w:rFonts w:ascii="Times New Roman" w:hAnsi="Times New Roman" w:cs="Times New Roman"/>
          <w:sz w:val="24"/>
          <w:szCs w:val="24"/>
        </w:rPr>
      </w:pPr>
      <w:r>
        <w:rPr>
          <w:rFonts w:ascii="Times New Roman" w:hAnsi="Times New Roman" w:cs="Times New Roman"/>
          <w:sz w:val="24"/>
          <w:szCs w:val="24"/>
        </w:rPr>
        <w:lastRenderedPageBreak/>
        <w:t>By the completion of the spring 2019 semester, all key assessments had been reviewed.  During this process that began during fall 2017, key assessment</w:t>
      </w:r>
      <w:r w:rsidR="002233E8">
        <w:rPr>
          <w:rFonts w:ascii="Times New Roman" w:hAnsi="Times New Roman" w:cs="Times New Roman"/>
          <w:sz w:val="24"/>
          <w:szCs w:val="24"/>
        </w:rPr>
        <w:t xml:space="preserve">s had been revised, updated, </w:t>
      </w:r>
      <w:r>
        <w:rPr>
          <w:rFonts w:ascii="Times New Roman" w:hAnsi="Times New Roman" w:cs="Times New Roman"/>
          <w:sz w:val="24"/>
          <w:szCs w:val="24"/>
        </w:rPr>
        <w:t>replac</w:t>
      </w:r>
      <w:r w:rsidR="002233E8">
        <w:rPr>
          <w:rFonts w:ascii="Times New Roman" w:hAnsi="Times New Roman" w:cs="Times New Roman"/>
          <w:sz w:val="24"/>
          <w:szCs w:val="24"/>
        </w:rPr>
        <w:t>ed and/or planned.  The goal of this process has been to make these key assessments</w:t>
      </w:r>
      <w:r>
        <w:rPr>
          <w:rFonts w:ascii="Times New Roman" w:hAnsi="Times New Roman" w:cs="Times New Roman"/>
          <w:sz w:val="24"/>
          <w:szCs w:val="24"/>
        </w:rPr>
        <w:t xml:space="preserve"> </w:t>
      </w:r>
      <w:r w:rsidR="00A04FA1">
        <w:rPr>
          <w:rFonts w:ascii="Times New Roman" w:hAnsi="Times New Roman" w:cs="Times New Roman"/>
          <w:sz w:val="24"/>
          <w:szCs w:val="24"/>
        </w:rPr>
        <w:t>measure what is intended to be measured, and to be sure that each assessment allows the EPP</w:t>
      </w:r>
      <w:r w:rsidR="00A04FA1" w:rsidRPr="00A04FA1">
        <w:rPr>
          <w:rFonts w:ascii="Times New Roman" w:hAnsi="Times New Roman" w:cs="Times New Roman"/>
          <w:sz w:val="24"/>
          <w:szCs w:val="24"/>
        </w:rPr>
        <w:t xml:space="preserve"> to make appropriat</w:t>
      </w:r>
      <w:r w:rsidR="00A04FA1">
        <w:rPr>
          <w:rFonts w:ascii="Times New Roman" w:hAnsi="Times New Roman" w:cs="Times New Roman"/>
          <w:sz w:val="24"/>
          <w:szCs w:val="24"/>
        </w:rPr>
        <w:t>e inferences regarding a candidates’ knowledge, skills, and dispositions.  Each assessment and corresponding rubric has been examined in an effort to d</w:t>
      </w:r>
      <w:r w:rsidR="00A04FA1" w:rsidRPr="00A04FA1">
        <w:rPr>
          <w:rFonts w:ascii="Times New Roman" w:hAnsi="Times New Roman" w:cs="Times New Roman"/>
          <w:sz w:val="24"/>
          <w:szCs w:val="24"/>
        </w:rPr>
        <w:t>efine in very specific terms what</w:t>
      </w:r>
      <w:r w:rsidR="00A04FA1">
        <w:rPr>
          <w:rFonts w:ascii="Times New Roman" w:hAnsi="Times New Roman" w:cs="Times New Roman"/>
          <w:sz w:val="24"/>
          <w:szCs w:val="24"/>
        </w:rPr>
        <w:t xml:space="preserve"> should be addressed &amp; assessed.  The EPP has attempted to align key assessments with the program’s mission and goals</w:t>
      </w:r>
      <w:r w:rsidR="00A04FA1" w:rsidRPr="00A04FA1">
        <w:rPr>
          <w:rFonts w:ascii="Times New Roman" w:hAnsi="Times New Roman" w:cs="Times New Roman"/>
          <w:sz w:val="24"/>
          <w:szCs w:val="24"/>
        </w:rPr>
        <w:t xml:space="preserve">, </w:t>
      </w:r>
      <w:proofErr w:type="spellStart"/>
      <w:r w:rsidR="00A04FA1">
        <w:rPr>
          <w:rFonts w:ascii="Times New Roman" w:hAnsi="Times New Roman" w:cs="Times New Roman"/>
          <w:sz w:val="24"/>
          <w:szCs w:val="24"/>
        </w:rPr>
        <w:t>InTASC</w:t>
      </w:r>
      <w:proofErr w:type="spellEnd"/>
      <w:r w:rsidR="00A04FA1">
        <w:rPr>
          <w:rFonts w:ascii="Times New Roman" w:hAnsi="Times New Roman" w:cs="Times New Roman"/>
          <w:sz w:val="24"/>
          <w:szCs w:val="24"/>
        </w:rPr>
        <w:t xml:space="preserve"> standards, and CAEP standards. The process of reviewing assessments is not complete.  The EPP has developed a Quality Assurance System that will allow all data to be collected, aggregated and disaggregated, disseminated, and analyzed for improving the teacher education program and for monitoring candidate performance.</w:t>
      </w:r>
      <w:r w:rsidR="00367329">
        <w:rPr>
          <w:rFonts w:ascii="Times New Roman" w:hAnsi="Times New Roman" w:cs="Times New Roman"/>
          <w:sz w:val="24"/>
          <w:szCs w:val="24"/>
        </w:rPr>
        <w:t xml:space="preserve"> The process will involve a pilot semester of the assessment. </w:t>
      </w:r>
      <w:r w:rsidR="00367329" w:rsidRPr="00367329">
        <w:rPr>
          <w:rFonts w:ascii="Times New Roman" w:hAnsi="Times New Roman" w:cs="Times New Roman"/>
          <w:sz w:val="24"/>
          <w:szCs w:val="24"/>
        </w:rPr>
        <w:t>At the end of the p</w:t>
      </w:r>
      <w:r w:rsidR="00873061">
        <w:rPr>
          <w:rFonts w:ascii="Times New Roman" w:hAnsi="Times New Roman" w:cs="Times New Roman"/>
          <w:sz w:val="24"/>
          <w:szCs w:val="24"/>
        </w:rPr>
        <w:t>ilot, the expert group will</w:t>
      </w:r>
      <w:r w:rsidR="00367329" w:rsidRPr="00367329">
        <w:rPr>
          <w:rFonts w:ascii="Times New Roman" w:hAnsi="Times New Roman" w:cs="Times New Roman"/>
          <w:sz w:val="24"/>
          <w:szCs w:val="24"/>
        </w:rPr>
        <w:t xml:space="preserve"> </w:t>
      </w:r>
      <w:r w:rsidR="00367329">
        <w:rPr>
          <w:rFonts w:ascii="Times New Roman" w:hAnsi="Times New Roman" w:cs="Times New Roman"/>
          <w:sz w:val="24"/>
          <w:szCs w:val="24"/>
        </w:rPr>
        <w:t xml:space="preserve">review </w:t>
      </w:r>
      <w:r w:rsidR="004A32EC">
        <w:rPr>
          <w:rFonts w:ascii="Times New Roman" w:hAnsi="Times New Roman" w:cs="Times New Roman"/>
          <w:sz w:val="24"/>
          <w:szCs w:val="24"/>
        </w:rPr>
        <w:t xml:space="preserve">the assessment and make </w:t>
      </w:r>
      <w:r w:rsidR="00367329" w:rsidRPr="00367329">
        <w:rPr>
          <w:rFonts w:ascii="Times New Roman" w:hAnsi="Times New Roman" w:cs="Times New Roman"/>
          <w:sz w:val="24"/>
          <w:szCs w:val="24"/>
        </w:rPr>
        <w:t>any ne</w:t>
      </w:r>
      <w:r w:rsidR="00367329">
        <w:rPr>
          <w:rFonts w:ascii="Times New Roman" w:hAnsi="Times New Roman" w:cs="Times New Roman"/>
          <w:sz w:val="24"/>
          <w:szCs w:val="24"/>
        </w:rPr>
        <w:t>cessary changes. The</w:t>
      </w:r>
      <w:r w:rsidR="004A32EC">
        <w:rPr>
          <w:rFonts w:ascii="Times New Roman" w:hAnsi="Times New Roman" w:cs="Times New Roman"/>
          <w:sz w:val="24"/>
          <w:szCs w:val="24"/>
        </w:rPr>
        <w:t xml:space="preserve"> </w:t>
      </w:r>
      <w:r w:rsidR="00873061">
        <w:rPr>
          <w:rFonts w:ascii="Times New Roman" w:hAnsi="Times New Roman" w:cs="Times New Roman"/>
          <w:sz w:val="24"/>
          <w:szCs w:val="24"/>
        </w:rPr>
        <w:t>i</w:t>
      </w:r>
      <w:r w:rsidR="00367329" w:rsidRPr="00367329">
        <w:rPr>
          <w:rFonts w:ascii="Times New Roman" w:hAnsi="Times New Roman" w:cs="Times New Roman"/>
          <w:sz w:val="24"/>
          <w:szCs w:val="24"/>
        </w:rPr>
        <w:t>nstrument will then f</w:t>
      </w:r>
      <w:r w:rsidR="004A32EC">
        <w:rPr>
          <w:rFonts w:ascii="Times New Roman" w:hAnsi="Times New Roman" w:cs="Times New Roman"/>
          <w:sz w:val="24"/>
          <w:szCs w:val="24"/>
        </w:rPr>
        <w:t xml:space="preserve">all into the 3-year cycle of EPP assessments and be revisited </w:t>
      </w:r>
      <w:r w:rsidR="00367329" w:rsidRPr="00367329">
        <w:rPr>
          <w:rFonts w:ascii="Times New Roman" w:hAnsi="Times New Roman" w:cs="Times New Roman"/>
          <w:sz w:val="24"/>
          <w:szCs w:val="24"/>
        </w:rPr>
        <w:t>when the cycle comes around again</w:t>
      </w:r>
      <w:r w:rsidR="004A32EC">
        <w:rPr>
          <w:rFonts w:ascii="Times New Roman" w:hAnsi="Times New Roman" w:cs="Times New Roman"/>
          <w:sz w:val="24"/>
          <w:szCs w:val="24"/>
        </w:rPr>
        <w:t>.</w:t>
      </w:r>
    </w:p>
    <w:p w:rsidR="001C7130" w:rsidRDefault="001C7130" w:rsidP="00A04FA1">
      <w:pPr>
        <w:rPr>
          <w:rFonts w:ascii="Times New Roman" w:hAnsi="Times New Roman" w:cs="Times New Roman"/>
          <w:sz w:val="24"/>
          <w:szCs w:val="24"/>
        </w:rPr>
      </w:pPr>
    </w:p>
    <w:p w:rsidR="00992FFA" w:rsidRDefault="001C7130" w:rsidP="00A04FA1">
      <w:pPr>
        <w:rPr>
          <w:rFonts w:ascii="Times New Roman" w:hAnsi="Times New Roman" w:cs="Times New Roman"/>
          <w:b/>
          <w:sz w:val="24"/>
          <w:szCs w:val="24"/>
        </w:rPr>
      </w:pPr>
      <w:r w:rsidRPr="001C7130">
        <w:rPr>
          <w:rFonts w:ascii="Times New Roman" w:hAnsi="Times New Roman" w:cs="Times New Roman"/>
          <w:b/>
          <w:sz w:val="24"/>
          <w:szCs w:val="24"/>
        </w:rPr>
        <w:t>Key Assessment Validity</w:t>
      </w:r>
    </w:p>
    <w:p w:rsidR="00992FFA" w:rsidRDefault="00992FFA" w:rsidP="00A04FA1">
      <w:pPr>
        <w:rPr>
          <w:rFonts w:ascii="Times New Roman" w:hAnsi="Times New Roman" w:cs="Times New Roman"/>
          <w:b/>
          <w:sz w:val="24"/>
          <w:szCs w:val="24"/>
        </w:rPr>
      </w:pPr>
    </w:p>
    <w:p w:rsidR="00367329" w:rsidRDefault="001C7130" w:rsidP="001C7130">
      <w:r>
        <w:rPr>
          <w:rFonts w:ascii="Times New Roman" w:hAnsi="Times New Roman" w:cs="Times New Roman"/>
          <w:sz w:val="24"/>
          <w:szCs w:val="24"/>
        </w:rPr>
        <w:t xml:space="preserve">In a CAEP presentation on establishing content validity, Dr. Stevie </w:t>
      </w:r>
      <w:proofErr w:type="spellStart"/>
      <w:r>
        <w:rPr>
          <w:rFonts w:ascii="Times New Roman" w:hAnsi="Times New Roman" w:cs="Times New Roman"/>
          <w:sz w:val="24"/>
          <w:szCs w:val="24"/>
        </w:rPr>
        <w:t>Chepko</w:t>
      </w:r>
      <w:proofErr w:type="spellEnd"/>
      <w:r>
        <w:rPr>
          <w:rFonts w:ascii="Times New Roman" w:hAnsi="Times New Roman" w:cs="Times New Roman"/>
          <w:sz w:val="24"/>
          <w:szCs w:val="24"/>
        </w:rPr>
        <w:t xml:space="preserve"> defined content validity as “t</w:t>
      </w:r>
      <w:r w:rsidRPr="001C7130">
        <w:rPr>
          <w:rFonts w:ascii="Times New Roman" w:hAnsi="Times New Roman" w:cs="Times New Roman"/>
          <w:sz w:val="24"/>
          <w:szCs w:val="24"/>
        </w:rPr>
        <w:t xml:space="preserve">he extent to which </w:t>
      </w:r>
      <w:r>
        <w:rPr>
          <w:rFonts w:ascii="Times New Roman" w:hAnsi="Times New Roman" w:cs="Times New Roman"/>
          <w:sz w:val="24"/>
          <w:szCs w:val="24"/>
        </w:rPr>
        <w:t xml:space="preserve">a measure represents all facets </w:t>
      </w:r>
      <w:r w:rsidRPr="001C7130">
        <w:rPr>
          <w:rFonts w:ascii="Times New Roman" w:hAnsi="Times New Roman" w:cs="Times New Roman"/>
          <w:sz w:val="24"/>
          <w:szCs w:val="24"/>
        </w:rPr>
        <w:t>of a given constru</w:t>
      </w:r>
      <w:r>
        <w:rPr>
          <w:rFonts w:ascii="Times New Roman" w:hAnsi="Times New Roman" w:cs="Times New Roman"/>
          <w:sz w:val="24"/>
          <w:szCs w:val="24"/>
        </w:rPr>
        <w:t>ct and the e</w:t>
      </w:r>
      <w:r w:rsidRPr="001C7130">
        <w:rPr>
          <w:rFonts w:ascii="Times New Roman" w:hAnsi="Times New Roman" w:cs="Times New Roman"/>
          <w:sz w:val="24"/>
          <w:szCs w:val="24"/>
        </w:rPr>
        <w:t>xtent to which an indicator m</w:t>
      </w:r>
      <w:r>
        <w:rPr>
          <w:rFonts w:ascii="Times New Roman" w:hAnsi="Times New Roman" w:cs="Times New Roman"/>
          <w:sz w:val="24"/>
          <w:szCs w:val="24"/>
        </w:rPr>
        <w:t xml:space="preserve">easures what it was </w:t>
      </w:r>
      <w:r w:rsidRPr="001C7130">
        <w:rPr>
          <w:rFonts w:ascii="Times New Roman" w:hAnsi="Times New Roman" w:cs="Times New Roman"/>
          <w:sz w:val="24"/>
          <w:szCs w:val="24"/>
        </w:rPr>
        <w:t>designed to measure</w:t>
      </w:r>
      <w:r>
        <w:rPr>
          <w:rFonts w:ascii="Times New Roman" w:hAnsi="Times New Roman" w:cs="Times New Roman"/>
          <w:sz w:val="24"/>
          <w:szCs w:val="24"/>
        </w:rPr>
        <w:t xml:space="preserve">.” Content validity involves obtaining a level of agreement among “experts,” in this case, EPP faculty members, </w:t>
      </w:r>
      <w:r w:rsidR="00B5722F">
        <w:rPr>
          <w:rFonts w:ascii="Times New Roman" w:hAnsi="Times New Roman" w:cs="Times New Roman"/>
          <w:sz w:val="24"/>
          <w:szCs w:val="24"/>
        </w:rPr>
        <w:t xml:space="preserve">EPP clinical educators, and P-12 faculty and administrators, the use of Q-sort methodology, and </w:t>
      </w:r>
      <w:proofErr w:type="spellStart"/>
      <w:r w:rsidR="00B5722F">
        <w:rPr>
          <w:rFonts w:ascii="Times New Roman" w:hAnsi="Times New Roman" w:cs="Times New Roman"/>
          <w:sz w:val="24"/>
          <w:szCs w:val="24"/>
        </w:rPr>
        <w:t>Lawshe’s</w:t>
      </w:r>
      <w:proofErr w:type="spellEnd"/>
      <w:r w:rsidR="00B5722F">
        <w:rPr>
          <w:rFonts w:ascii="Times New Roman" w:hAnsi="Times New Roman" w:cs="Times New Roman"/>
          <w:sz w:val="24"/>
          <w:szCs w:val="24"/>
        </w:rPr>
        <w:t xml:space="preserve"> Content Validity Ratio.  The EPP completed two validity studies.  The results of these are presented.</w:t>
      </w:r>
      <w:r w:rsidR="00367329" w:rsidRPr="00367329">
        <w:t xml:space="preserve"> </w:t>
      </w:r>
    </w:p>
    <w:p w:rsidR="00367329" w:rsidRDefault="00367329" w:rsidP="001C7130"/>
    <w:p w:rsidR="00B5722F" w:rsidRPr="00367329" w:rsidRDefault="00367329" w:rsidP="001C7130">
      <w:pPr>
        <w:rPr>
          <w:rFonts w:ascii="Times New Roman" w:hAnsi="Times New Roman" w:cs="Times New Roman"/>
          <w:b/>
          <w:sz w:val="24"/>
          <w:szCs w:val="24"/>
        </w:rPr>
      </w:pPr>
      <w:r w:rsidRPr="00367329">
        <w:rPr>
          <w:rFonts w:ascii="Times New Roman" w:hAnsi="Times New Roman" w:cs="Times New Roman"/>
          <w:b/>
          <w:sz w:val="24"/>
          <w:szCs w:val="24"/>
        </w:rPr>
        <w:t>Examples of assessments that have been evalua</w:t>
      </w:r>
      <w:r w:rsidR="00992FFA">
        <w:rPr>
          <w:rFonts w:ascii="Times New Roman" w:hAnsi="Times New Roman" w:cs="Times New Roman"/>
          <w:b/>
          <w:sz w:val="24"/>
          <w:szCs w:val="24"/>
        </w:rPr>
        <w:t>ted for validity</w:t>
      </w:r>
      <w:r w:rsidRPr="00367329">
        <w:rPr>
          <w:rFonts w:ascii="Times New Roman" w:hAnsi="Times New Roman" w:cs="Times New Roman"/>
          <w:b/>
          <w:sz w:val="24"/>
          <w:szCs w:val="24"/>
        </w:rPr>
        <w:t>:</w:t>
      </w:r>
    </w:p>
    <w:p w:rsidR="00367329" w:rsidRDefault="00367329" w:rsidP="001C7130">
      <w:pPr>
        <w:rPr>
          <w:rFonts w:ascii="Times New Roman" w:hAnsi="Times New Roman" w:cs="Times New Roman"/>
          <w:sz w:val="24"/>
          <w:szCs w:val="24"/>
        </w:rPr>
      </w:pPr>
    </w:p>
    <w:p w:rsidR="00992FFA" w:rsidRPr="00992FFA" w:rsidRDefault="00992FFA" w:rsidP="001C7130">
      <w:pPr>
        <w:rPr>
          <w:rFonts w:ascii="Times New Roman" w:hAnsi="Times New Roman" w:cs="Times New Roman"/>
          <w:sz w:val="24"/>
          <w:szCs w:val="24"/>
          <w:u w:val="single"/>
        </w:rPr>
      </w:pPr>
      <w:r w:rsidRPr="00992FFA">
        <w:rPr>
          <w:rFonts w:ascii="Times New Roman" w:hAnsi="Times New Roman" w:cs="Times New Roman"/>
          <w:sz w:val="24"/>
          <w:szCs w:val="24"/>
          <w:u w:val="single"/>
        </w:rPr>
        <w:t xml:space="preserve">EPP Created Disposition Assessment and Teacher Candidate Portfolio </w:t>
      </w:r>
    </w:p>
    <w:p w:rsidR="00992FFA" w:rsidRDefault="00992FFA" w:rsidP="001C7130">
      <w:pPr>
        <w:rPr>
          <w:rFonts w:ascii="Times New Roman" w:hAnsi="Times New Roman" w:cs="Times New Roman"/>
          <w:sz w:val="24"/>
          <w:szCs w:val="24"/>
        </w:rPr>
      </w:pPr>
    </w:p>
    <w:p w:rsidR="00D47481" w:rsidRDefault="00992FFA" w:rsidP="001C7130">
      <w:pPr>
        <w:rPr>
          <w:rFonts w:ascii="Times New Roman" w:hAnsi="Times New Roman" w:cs="Times New Roman"/>
          <w:sz w:val="24"/>
          <w:szCs w:val="24"/>
        </w:rPr>
      </w:pPr>
      <w:r w:rsidRPr="00992FFA">
        <w:rPr>
          <w:rFonts w:ascii="Times New Roman" w:hAnsi="Times New Roman" w:cs="Times New Roman"/>
          <w:sz w:val="24"/>
          <w:szCs w:val="24"/>
        </w:rPr>
        <w:t xml:space="preserve">The </w:t>
      </w:r>
      <w:proofErr w:type="spellStart"/>
      <w:r w:rsidRPr="00992FFA">
        <w:rPr>
          <w:rFonts w:ascii="Times New Roman" w:hAnsi="Times New Roman" w:cs="Times New Roman"/>
          <w:sz w:val="24"/>
          <w:szCs w:val="24"/>
        </w:rPr>
        <w:t>Lawshe</w:t>
      </w:r>
      <w:proofErr w:type="spellEnd"/>
      <w:r w:rsidRPr="00992FFA">
        <w:rPr>
          <w:rFonts w:ascii="Times New Roman" w:hAnsi="Times New Roman" w:cs="Times New Roman"/>
          <w:sz w:val="24"/>
          <w:szCs w:val="24"/>
        </w:rPr>
        <w:t xml:space="preserve"> study was conducted with the EPP and the Teacher Advisory Council on September 20, 2017. Participants were given the following instructions: The following items have been identified as key factors that could be included in the assessment of initial candidates; dispositions. We are asking you to identify what are the most important elements that should be include</w:t>
      </w:r>
      <w:r>
        <w:rPr>
          <w:rFonts w:ascii="Times New Roman" w:hAnsi="Times New Roman" w:cs="Times New Roman"/>
          <w:sz w:val="24"/>
          <w:szCs w:val="24"/>
        </w:rPr>
        <w:t xml:space="preserve">d in the Disposition Assessment and for components of the Teacher Candidate Portfolio for Admission to the Teacher Education Program. </w:t>
      </w:r>
      <w:r w:rsidRPr="00992FFA">
        <w:rPr>
          <w:rFonts w:ascii="Times New Roman" w:hAnsi="Times New Roman" w:cs="Times New Roman"/>
          <w:sz w:val="24"/>
          <w:szCs w:val="24"/>
        </w:rPr>
        <w:t xml:space="preserve"> Based on your current understandings of the requirements for our candidates during their first course and field experience, and of the items on the list, please identify each individual item as either : Essential; Useful but not essential; or Not necessary.</w:t>
      </w:r>
      <w:r>
        <w:rPr>
          <w:rFonts w:ascii="Times New Roman" w:hAnsi="Times New Roman" w:cs="Times New Roman"/>
          <w:sz w:val="24"/>
          <w:szCs w:val="24"/>
        </w:rPr>
        <w:t xml:space="preserve">  The following chart iden</w:t>
      </w:r>
      <w:r w:rsidR="00D47481">
        <w:rPr>
          <w:rFonts w:ascii="Times New Roman" w:hAnsi="Times New Roman" w:cs="Times New Roman"/>
          <w:sz w:val="24"/>
          <w:szCs w:val="24"/>
        </w:rPr>
        <w:t>tifies the results of the study</w:t>
      </w:r>
    </w:p>
    <w:p w:rsidR="008F3B6A" w:rsidRDefault="008F3B6A" w:rsidP="001C7130">
      <w:pPr>
        <w:rPr>
          <w:rFonts w:ascii="Times New Roman" w:hAnsi="Times New Roman" w:cs="Times New Roman"/>
          <w:sz w:val="24"/>
          <w:szCs w:val="24"/>
        </w:rPr>
      </w:pPr>
    </w:p>
    <w:tbl>
      <w:tblPr>
        <w:tblStyle w:val="TableGrid"/>
        <w:tblW w:w="9450" w:type="dxa"/>
        <w:tblInd w:w="108" w:type="dxa"/>
        <w:tblLook w:val="04A0" w:firstRow="1" w:lastRow="0" w:firstColumn="1" w:lastColumn="0" w:noHBand="0" w:noVBand="1"/>
      </w:tblPr>
      <w:tblGrid>
        <w:gridCol w:w="4290"/>
        <w:gridCol w:w="1021"/>
        <w:gridCol w:w="800"/>
        <w:gridCol w:w="1142"/>
        <w:gridCol w:w="1207"/>
        <w:gridCol w:w="990"/>
      </w:tblGrid>
      <w:tr w:rsidR="00D47481" w:rsidTr="00D47481">
        <w:tc>
          <w:tcPr>
            <w:tcW w:w="9450" w:type="dxa"/>
            <w:gridSpan w:val="6"/>
            <w:vAlign w:val="bottom"/>
          </w:tcPr>
          <w:p w:rsidR="00D47481" w:rsidRDefault="00D47481" w:rsidP="00D47481">
            <w:pPr>
              <w:rPr>
                <w:rFonts w:ascii="Times New Roman" w:hAnsi="Times New Roman" w:cs="Times New Roman"/>
                <w:sz w:val="24"/>
                <w:szCs w:val="24"/>
              </w:rPr>
            </w:pPr>
            <w:r w:rsidRPr="00D47481">
              <w:rPr>
                <w:rFonts w:ascii="Calibri" w:eastAsia="Calibri" w:hAnsi="Calibri" w:cs="Times New Roman"/>
                <w:b/>
                <w:bCs/>
              </w:rPr>
              <w:t xml:space="preserve">Dispositions Validity Study </w:t>
            </w:r>
            <w:proofErr w:type="spellStart"/>
            <w:r w:rsidRPr="00D47481">
              <w:rPr>
                <w:rFonts w:ascii="Calibri" w:eastAsia="Calibri" w:hAnsi="Calibri" w:cs="Times New Roman"/>
                <w:b/>
                <w:bCs/>
              </w:rPr>
              <w:t>Lawshe</w:t>
            </w:r>
            <w:proofErr w:type="spellEnd"/>
            <w:r w:rsidRPr="00D47481">
              <w:rPr>
                <w:rFonts w:ascii="Calibri" w:eastAsia="Calibri" w:hAnsi="Calibri" w:cs="Times New Roman"/>
                <w:b/>
                <w:bCs/>
              </w:rPr>
              <w:t xml:space="preserve">           </w:t>
            </w:r>
          </w:p>
        </w:tc>
      </w:tr>
      <w:tr w:rsidR="00D47481" w:rsidTr="00D47481">
        <w:tc>
          <w:tcPr>
            <w:tcW w:w="4290" w:type="dxa"/>
            <w:vAlign w:val="bottom"/>
          </w:tcPr>
          <w:p w:rsidR="00D47481" w:rsidRDefault="00D47481" w:rsidP="00D47481">
            <w:pPr>
              <w:rPr>
                <w:rFonts w:ascii="Times New Roman" w:hAnsi="Times New Roman" w:cs="Times New Roman"/>
                <w:sz w:val="24"/>
                <w:szCs w:val="24"/>
              </w:rPr>
            </w:pPr>
            <w:r w:rsidRPr="00D47481">
              <w:rPr>
                <w:rFonts w:ascii="Calibri" w:eastAsia="Calibri" w:hAnsi="Calibri" w:cs="Times New Roman"/>
                <w:b/>
                <w:bCs/>
              </w:rPr>
              <w:t xml:space="preserve">N=24 (17 Essentials needed) </w:t>
            </w:r>
          </w:p>
        </w:tc>
        <w:tc>
          <w:tcPr>
            <w:tcW w:w="1021" w:type="dxa"/>
            <w:vAlign w:val="bottom"/>
          </w:tcPr>
          <w:p w:rsidR="00D47481" w:rsidRDefault="00D47481" w:rsidP="00D47481">
            <w:pPr>
              <w:rPr>
                <w:rFonts w:ascii="Times New Roman" w:hAnsi="Times New Roman" w:cs="Times New Roman"/>
                <w:sz w:val="24"/>
                <w:szCs w:val="24"/>
              </w:rPr>
            </w:pPr>
            <w:r w:rsidRPr="00D47481">
              <w:rPr>
                <w:rFonts w:ascii="Calibri" w:eastAsia="Calibri" w:hAnsi="Calibri" w:cs="Times New Roman"/>
                <w:b/>
                <w:bCs/>
              </w:rPr>
              <w:t>Essential</w:t>
            </w:r>
          </w:p>
        </w:tc>
        <w:tc>
          <w:tcPr>
            <w:tcW w:w="800" w:type="dxa"/>
            <w:vAlign w:val="bottom"/>
          </w:tcPr>
          <w:p w:rsidR="00D47481" w:rsidRDefault="00D47481" w:rsidP="00D47481">
            <w:pPr>
              <w:rPr>
                <w:rFonts w:ascii="Times New Roman" w:hAnsi="Times New Roman" w:cs="Times New Roman"/>
                <w:sz w:val="24"/>
                <w:szCs w:val="24"/>
              </w:rPr>
            </w:pPr>
            <w:r w:rsidRPr="00D47481">
              <w:rPr>
                <w:rFonts w:ascii="Calibri" w:eastAsia="Calibri" w:hAnsi="Calibri" w:cs="Times New Roman"/>
                <w:b/>
                <w:bCs/>
              </w:rPr>
              <w:t>Useful</w:t>
            </w:r>
          </w:p>
        </w:tc>
        <w:tc>
          <w:tcPr>
            <w:tcW w:w="1142" w:type="dxa"/>
            <w:vAlign w:val="bottom"/>
          </w:tcPr>
          <w:p w:rsidR="00D47481" w:rsidRDefault="00D47481" w:rsidP="00D47481">
            <w:pPr>
              <w:rPr>
                <w:rFonts w:ascii="Times New Roman" w:hAnsi="Times New Roman" w:cs="Times New Roman"/>
                <w:sz w:val="24"/>
                <w:szCs w:val="24"/>
              </w:rPr>
            </w:pPr>
            <w:r w:rsidRPr="00D47481">
              <w:rPr>
                <w:rFonts w:ascii="Calibri" w:eastAsia="Calibri" w:hAnsi="Calibri" w:cs="Times New Roman"/>
                <w:b/>
                <w:bCs/>
              </w:rPr>
              <w:t>Not Necessary</w:t>
            </w:r>
          </w:p>
        </w:tc>
        <w:tc>
          <w:tcPr>
            <w:tcW w:w="1207" w:type="dxa"/>
            <w:vAlign w:val="bottom"/>
          </w:tcPr>
          <w:p w:rsidR="00D47481" w:rsidRDefault="00D47481" w:rsidP="00D47481">
            <w:pPr>
              <w:rPr>
                <w:rFonts w:ascii="Times New Roman" w:hAnsi="Times New Roman" w:cs="Times New Roman"/>
                <w:sz w:val="24"/>
                <w:szCs w:val="24"/>
              </w:rPr>
            </w:pPr>
            <w:r w:rsidRPr="00D47481">
              <w:rPr>
                <w:rFonts w:ascii="Calibri" w:eastAsia="Calibri" w:hAnsi="Calibri" w:cs="Times New Roman"/>
                <w:b/>
                <w:bCs/>
              </w:rPr>
              <w:t>% Marked Essential</w:t>
            </w:r>
          </w:p>
        </w:tc>
        <w:tc>
          <w:tcPr>
            <w:tcW w:w="990" w:type="dxa"/>
            <w:vAlign w:val="bottom"/>
          </w:tcPr>
          <w:p w:rsidR="00D47481" w:rsidRPr="00D47481" w:rsidRDefault="00D47481" w:rsidP="00D47481">
            <w:pPr>
              <w:rPr>
                <w:rFonts w:ascii="Calibri" w:eastAsia="Calibri" w:hAnsi="Calibri" w:cs="Times New Roman"/>
                <w:b/>
                <w:bCs/>
              </w:rPr>
            </w:pPr>
            <w:r w:rsidRPr="00D47481">
              <w:rPr>
                <w:rFonts w:ascii="Calibri" w:eastAsia="Calibri" w:hAnsi="Calibri" w:cs="Times New Roman"/>
                <w:b/>
                <w:bCs/>
              </w:rPr>
              <w:t>CVR  .42</w:t>
            </w:r>
          </w:p>
          <w:p w:rsidR="00D47481" w:rsidRDefault="00D47481" w:rsidP="00D47481">
            <w:pPr>
              <w:rPr>
                <w:rFonts w:ascii="Times New Roman" w:hAnsi="Times New Roman" w:cs="Times New Roman"/>
                <w:sz w:val="24"/>
                <w:szCs w:val="24"/>
              </w:rPr>
            </w:pPr>
            <w:r w:rsidRPr="00D47481">
              <w:rPr>
                <w:rFonts w:ascii="Calibri" w:eastAsia="Calibri" w:hAnsi="Calibri" w:cs="Times New Roman"/>
                <w:b/>
                <w:bCs/>
              </w:rPr>
              <w:t>Needed</w:t>
            </w:r>
          </w:p>
        </w:tc>
      </w:tr>
      <w:tr w:rsidR="00D47481" w:rsidTr="00D47481">
        <w:tc>
          <w:tcPr>
            <w:tcW w:w="4290" w:type="dxa"/>
            <w:vAlign w:val="bottom"/>
          </w:tcPr>
          <w:p w:rsidR="00D47481" w:rsidRPr="00D47481" w:rsidRDefault="00D47481" w:rsidP="00D47481">
            <w:pPr>
              <w:rPr>
                <w:rFonts w:ascii="Calibri" w:eastAsia="Calibri" w:hAnsi="Calibri" w:cs="Times New Roman"/>
                <w:b/>
                <w:bCs/>
              </w:rPr>
            </w:pPr>
            <w:r w:rsidRPr="00D47481">
              <w:rPr>
                <w:rFonts w:ascii="Calibri" w:eastAsia="Calibri" w:hAnsi="Calibri" w:cs="Times New Roman"/>
                <w:bCs/>
              </w:rPr>
              <w:t>The teacher candidate demonstrates a strong knowledge of content.</w:t>
            </w:r>
          </w:p>
        </w:tc>
        <w:tc>
          <w:tcPr>
            <w:tcW w:w="1021" w:type="dxa"/>
            <w:vAlign w:val="bottom"/>
          </w:tcPr>
          <w:p w:rsidR="00D47481" w:rsidRPr="00D47481" w:rsidRDefault="00D47481" w:rsidP="00D47481">
            <w:pPr>
              <w:rPr>
                <w:rFonts w:ascii="Calibri" w:eastAsia="Calibri" w:hAnsi="Calibri" w:cs="Times New Roman"/>
                <w:b/>
                <w:bCs/>
              </w:rPr>
            </w:pPr>
            <w:r w:rsidRPr="00D47481">
              <w:rPr>
                <w:rFonts w:ascii="Calibri" w:eastAsia="Calibri" w:hAnsi="Calibri" w:cs="Times New Roman"/>
              </w:rPr>
              <w:t>4</w:t>
            </w:r>
          </w:p>
        </w:tc>
        <w:tc>
          <w:tcPr>
            <w:tcW w:w="800" w:type="dxa"/>
            <w:vAlign w:val="bottom"/>
          </w:tcPr>
          <w:p w:rsidR="00D47481" w:rsidRPr="00D47481" w:rsidRDefault="00D47481" w:rsidP="00D47481">
            <w:pPr>
              <w:rPr>
                <w:rFonts w:ascii="Calibri" w:eastAsia="Calibri" w:hAnsi="Calibri" w:cs="Times New Roman"/>
                <w:b/>
                <w:bCs/>
              </w:rPr>
            </w:pPr>
            <w:r w:rsidRPr="00D47481">
              <w:rPr>
                <w:rFonts w:ascii="Calibri" w:eastAsia="Calibri" w:hAnsi="Calibri" w:cs="Times New Roman"/>
              </w:rPr>
              <w:t>20</w:t>
            </w:r>
          </w:p>
        </w:tc>
        <w:tc>
          <w:tcPr>
            <w:tcW w:w="1142" w:type="dxa"/>
            <w:vAlign w:val="bottom"/>
          </w:tcPr>
          <w:p w:rsidR="00D47481" w:rsidRPr="00D47481" w:rsidRDefault="00D47481" w:rsidP="00D47481">
            <w:pPr>
              <w:rPr>
                <w:rFonts w:ascii="Calibri" w:eastAsia="Calibri" w:hAnsi="Calibri" w:cs="Times New Roman"/>
                <w:b/>
                <w:bCs/>
              </w:rPr>
            </w:pPr>
            <w:r w:rsidRPr="00D47481">
              <w:rPr>
                <w:rFonts w:ascii="Calibri" w:eastAsia="Calibri" w:hAnsi="Calibri" w:cs="Times New Roman"/>
              </w:rPr>
              <w:t>0</w:t>
            </w:r>
          </w:p>
        </w:tc>
        <w:tc>
          <w:tcPr>
            <w:tcW w:w="1207" w:type="dxa"/>
            <w:vAlign w:val="bottom"/>
          </w:tcPr>
          <w:p w:rsidR="00D47481" w:rsidRPr="00D47481" w:rsidRDefault="00D47481" w:rsidP="00D47481">
            <w:pPr>
              <w:rPr>
                <w:rFonts w:ascii="Calibri" w:eastAsia="Calibri" w:hAnsi="Calibri" w:cs="Times New Roman"/>
                <w:b/>
                <w:bCs/>
              </w:rPr>
            </w:pPr>
            <w:r w:rsidRPr="00D47481">
              <w:rPr>
                <w:rFonts w:ascii="Calibri" w:eastAsia="Calibri" w:hAnsi="Calibri" w:cs="Times New Roman"/>
              </w:rPr>
              <w:t>17</w:t>
            </w:r>
          </w:p>
        </w:tc>
        <w:tc>
          <w:tcPr>
            <w:tcW w:w="990" w:type="dxa"/>
            <w:vAlign w:val="bottom"/>
          </w:tcPr>
          <w:p w:rsidR="00D47481" w:rsidRPr="00D47481" w:rsidRDefault="00D47481" w:rsidP="00D47481">
            <w:pPr>
              <w:rPr>
                <w:rFonts w:ascii="Calibri" w:eastAsia="Calibri" w:hAnsi="Calibri" w:cs="Times New Roman"/>
                <w:b/>
                <w:bCs/>
              </w:rPr>
            </w:pPr>
            <w:r w:rsidRPr="00D47481">
              <w:rPr>
                <w:rFonts w:ascii="Calibri" w:eastAsia="Calibri" w:hAnsi="Calibri" w:cs="Times New Roman"/>
              </w:rPr>
              <w:t>-0.67</w:t>
            </w:r>
          </w:p>
        </w:tc>
      </w:tr>
      <w:tr w:rsidR="00D47481" w:rsidTr="00D47481">
        <w:tc>
          <w:tcPr>
            <w:tcW w:w="42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The teacher candidate designs instruction aligned with state standards.</w:t>
            </w:r>
          </w:p>
        </w:tc>
        <w:tc>
          <w:tcPr>
            <w:tcW w:w="1021"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6</w:t>
            </w:r>
          </w:p>
        </w:tc>
        <w:tc>
          <w:tcPr>
            <w:tcW w:w="80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18</w:t>
            </w:r>
          </w:p>
        </w:tc>
        <w:tc>
          <w:tcPr>
            <w:tcW w:w="1142"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0</w:t>
            </w:r>
          </w:p>
        </w:tc>
        <w:tc>
          <w:tcPr>
            <w:tcW w:w="1207"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25</w:t>
            </w:r>
          </w:p>
        </w:tc>
        <w:tc>
          <w:tcPr>
            <w:tcW w:w="9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-0.50</w:t>
            </w:r>
          </w:p>
        </w:tc>
      </w:tr>
      <w:tr w:rsidR="00D47481" w:rsidTr="00D47481">
        <w:tc>
          <w:tcPr>
            <w:tcW w:w="42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lastRenderedPageBreak/>
              <w:t>The teacher candidate has a professional appearance.</w:t>
            </w:r>
          </w:p>
        </w:tc>
        <w:tc>
          <w:tcPr>
            <w:tcW w:w="1021"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19</w:t>
            </w:r>
          </w:p>
        </w:tc>
        <w:tc>
          <w:tcPr>
            <w:tcW w:w="80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4</w:t>
            </w:r>
          </w:p>
        </w:tc>
        <w:tc>
          <w:tcPr>
            <w:tcW w:w="1142"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1</w:t>
            </w:r>
          </w:p>
        </w:tc>
        <w:tc>
          <w:tcPr>
            <w:tcW w:w="1207"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79</w:t>
            </w:r>
          </w:p>
        </w:tc>
        <w:tc>
          <w:tcPr>
            <w:tcW w:w="9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 xml:space="preserve"> 0.58</w:t>
            </w:r>
          </w:p>
        </w:tc>
      </w:tr>
      <w:tr w:rsidR="00D47481" w:rsidTr="00D47481">
        <w:tc>
          <w:tcPr>
            <w:tcW w:w="42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The teacher candidate assesses student learning</w:t>
            </w:r>
          </w:p>
        </w:tc>
        <w:tc>
          <w:tcPr>
            <w:tcW w:w="1021"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6</w:t>
            </w:r>
          </w:p>
        </w:tc>
        <w:tc>
          <w:tcPr>
            <w:tcW w:w="80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1</w:t>
            </w:r>
          </w:p>
        </w:tc>
        <w:tc>
          <w:tcPr>
            <w:tcW w:w="1142"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17</w:t>
            </w:r>
          </w:p>
        </w:tc>
        <w:tc>
          <w:tcPr>
            <w:tcW w:w="1207"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25</w:t>
            </w:r>
          </w:p>
        </w:tc>
        <w:tc>
          <w:tcPr>
            <w:tcW w:w="9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-0.50</w:t>
            </w:r>
          </w:p>
        </w:tc>
      </w:tr>
      <w:tr w:rsidR="00D47481" w:rsidTr="00D47481">
        <w:tc>
          <w:tcPr>
            <w:tcW w:w="42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The teacher candidate demonstrates the implementation of technology.</w:t>
            </w:r>
          </w:p>
        </w:tc>
        <w:tc>
          <w:tcPr>
            <w:tcW w:w="1021"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6</w:t>
            </w:r>
          </w:p>
        </w:tc>
        <w:tc>
          <w:tcPr>
            <w:tcW w:w="80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10</w:t>
            </w:r>
          </w:p>
        </w:tc>
        <w:tc>
          <w:tcPr>
            <w:tcW w:w="1142"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8</w:t>
            </w:r>
          </w:p>
        </w:tc>
        <w:tc>
          <w:tcPr>
            <w:tcW w:w="1207"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25</w:t>
            </w:r>
          </w:p>
        </w:tc>
        <w:tc>
          <w:tcPr>
            <w:tcW w:w="9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-0.50</w:t>
            </w:r>
          </w:p>
        </w:tc>
      </w:tr>
      <w:tr w:rsidR="00D47481" w:rsidTr="00D47481">
        <w:tc>
          <w:tcPr>
            <w:tcW w:w="42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The teacher candidate demonstrates regular attendance and punctuality.</w:t>
            </w:r>
          </w:p>
        </w:tc>
        <w:tc>
          <w:tcPr>
            <w:tcW w:w="1021"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24</w:t>
            </w:r>
          </w:p>
        </w:tc>
        <w:tc>
          <w:tcPr>
            <w:tcW w:w="80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0</w:t>
            </w:r>
          </w:p>
        </w:tc>
        <w:tc>
          <w:tcPr>
            <w:tcW w:w="1142"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0</w:t>
            </w:r>
          </w:p>
        </w:tc>
        <w:tc>
          <w:tcPr>
            <w:tcW w:w="1207"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100</w:t>
            </w:r>
          </w:p>
        </w:tc>
        <w:tc>
          <w:tcPr>
            <w:tcW w:w="9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1.00</w:t>
            </w:r>
          </w:p>
        </w:tc>
      </w:tr>
      <w:tr w:rsidR="00D47481" w:rsidTr="00D47481">
        <w:tc>
          <w:tcPr>
            <w:tcW w:w="42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The teacher candidate is prepared for his/her daily responsibilities.</w:t>
            </w:r>
          </w:p>
        </w:tc>
        <w:tc>
          <w:tcPr>
            <w:tcW w:w="1021"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24</w:t>
            </w:r>
          </w:p>
        </w:tc>
        <w:tc>
          <w:tcPr>
            <w:tcW w:w="80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0</w:t>
            </w:r>
          </w:p>
        </w:tc>
        <w:tc>
          <w:tcPr>
            <w:tcW w:w="1142"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0</w:t>
            </w:r>
          </w:p>
        </w:tc>
        <w:tc>
          <w:tcPr>
            <w:tcW w:w="1207"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100</w:t>
            </w:r>
          </w:p>
        </w:tc>
        <w:tc>
          <w:tcPr>
            <w:tcW w:w="9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1.00</w:t>
            </w:r>
          </w:p>
        </w:tc>
      </w:tr>
      <w:tr w:rsidR="00D47481" w:rsidTr="00D47481">
        <w:tc>
          <w:tcPr>
            <w:tcW w:w="42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The teacher candidate demonstrates ethical behavior regarding fairness and confidentiality.</w:t>
            </w:r>
          </w:p>
        </w:tc>
        <w:tc>
          <w:tcPr>
            <w:tcW w:w="1021"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23</w:t>
            </w:r>
          </w:p>
        </w:tc>
        <w:tc>
          <w:tcPr>
            <w:tcW w:w="80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1</w:t>
            </w:r>
          </w:p>
        </w:tc>
        <w:tc>
          <w:tcPr>
            <w:tcW w:w="1142"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0</w:t>
            </w:r>
          </w:p>
        </w:tc>
        <w:tc>
          <w:tcPr>
            <w:tcW w:w="1207"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96</w:t>
            </w:r>
          </w:p>
        </w:tc>
        <w:tc>
          <w:tcPr>
            <w:tcW w:w="9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 xml:space="preserve"> 0.92</w:t>
            </w:r>
          </w:p>
        </w:tc>
      </w:tr>
      <w:tr w:rsidR="00D47481" w:rsidTr="00D47481">
        <w:tc>
          <w:tcPr>
            <w:tcW w:w="42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The teacher candidate demonstrates leadership qualities</w:t>
            </w:r>
          </w:p>
        </w:tc>
        <w:tc>
          <w:tcPr>
            <w:tcW w:w="1021"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17</w:t>
            </w:r>
          </w:p>
        </w:tc>
        <w:tc>
          <w:tcPr>
            <w:tcW w:w="80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4</w:t>
            </w:r>
          </w:p>
        </w:tc>
        <w:tc>
          <w:tcPr>
            <w:tcW w:w="1142"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3</w:t>
            </w:r>
          </w:p>
        </w:tc>
        <w:tc>
          <w:tcPr>
            <w:tcW w:w="1207"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71</w:t>
            </w:r>
          </w:p>
        </w:tc>
        <w:tc>
          <w:tcPr>
            <w:tcW w:w="9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 xml:space="preserve"> 0.42</w:t>
            </w:r>
          </w:p>
        </w:tc>
      </w:tr>
      <w:tr w:rsidR="00D47481" w:rsidTr="00D47481">
        <w:tc>
          <w:tcPr>
            <w:tcW w:w="42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The teacher candidate knows and supports the school mission.</w:t>
            </w:r>
          </w:p>
        </w:tc>
        <w:tc>
          <w:tcPr>
            <w:tcW w:w="1021"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5</w:t>
            </w:r>
          </w:p>
        </w:tc>
        <w:tc>
          <w:tcPr>
            <w:tcW w:w="80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2</w:t>
            </w:r>
          </w:p>
        </w:tc>
        <w:tc>
          <w:tcPr>
            <w:tcW w:w="1142"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17</w:t>
            </w:r>
          </w:p>
        </w:tc>
        <w:tc>
          <w:tcPr>
            <w:tcW w:w="1207"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21</w:t>
            </w:r>
          </w:p>
        </w:tc>
        <w:tc>
          <w:tcPr>
            <w:tcW w:w="9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-0.58</w:t>
            </w:r>
          </w:p>
        </w:tc>
      </w:tr>
      <w:tr w:rsidR="00D47481" w:rsidTr="00D47481">
        <w:tc>
          <w:tcPr>
            <w:tcW w:w="42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The teacher candidate has a positive response to feedback.</w:t>
            </w:r>
          </w:p>
        </w:tc>
        <w:tc>
          <w:tcPr>
            <w:tcW w:w="1021"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23</w:t>
            </w:r>
          </w:p>
        </w:tc>
        <w:tc>
          <w:tcPr>
            <w:tcW w:w="80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1</w:t>
            </w:r>
          </w:p>
        </w:tc>
        <w:tc>
          <w:tcPr>
            <w:tcW w:w="1142"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0</w:t>
            </w:r>
          </w:p>
        </w:tc>
        <w:tc>
          <w:tcPr>
            <w:tcW w:w="1207"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96</w:t>
            </w:r>
          </w:p>
        </w:tc>
        <w:tc>
          <w:tcPr>
            <w:tcW w:w="9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 xml:space="preserve"> 0.92</w:t>
            </w:r>
          </w:p>
        </w:tc>
      </w:tr>
      <w:tr w:rsidR="00D47481" w:rsidTr="00D47481">
        <w:tc>
          <w:tcPr>
            <w:tcW w:w="42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The teacher candidate demonstrates good and effective communication skills.</w:t>
            </w:r>
          </w:p>
        </w:tc>
        <w:tc>
          <w:tcPr>
            <w:tcW w:w="1021"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21</w:t>
            </w:r>
          </w:p>
        </w:tc>
        <w:tc>
          <w:tcPr>
            <w:tcW w:w="80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3</w:t>
            </w:r>
          </w:p>
        </w:tc>
        <w:tc>
          <w:tcPr>
            <w:tcW w:w="1142"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0</w:t>
            </w:r>
          </w:p>
        </w:tc>
        <w:tc>
          <w:tcPr>
            <w:tcW w:w="1207"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88</w:t>
            </w:r>
          </w:p>
        </w:tc>
        <w:tc>
          <w:tcPr>
            <w:tcW w:w="9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 xml:space="preserve"> 0.75</w:t>
            </w:r>
          </w:p>
        </w:tc>
      </w:tr>
      <w:tr w:rsidR="00D47481" w:rsidTr="00D47481">
        <w:tc>
          <w:tcPr>
            <w:tcW w:w="42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The teacher candidate demonstrates an understanding of learner growth and development.</w:t>
            </w:r>
          </w:p>
        </w:tc>
        <w:tc>
          <w:tcPr>
            <w:tcW w:w="1021"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6</w:t>
            </w:r>
          </w:p>
        </w:tc>
        <w:tc>
          <w:tcPr>
            <w:tcW w:w="80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14</w:t>
            </w:r>
          </w:p>
        </w:tc>
        <w:tc>
          <w:tcPr>
            <w:tcW w:w="1142"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4</w:t>
            </w:r>
          </w:p>
        </w:tc>
        <w:tc>
          <w:tcPr>
            <w:tcW w:w="1207"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25</w:t>
            </w:r>
          </w:p>
        </w:tc>
        <w:tc>
          <w:tcPr>
            <w:tcW w:w="9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-0.50</w:t>
            </w:r>
          </w:p>
        </w:tc>
      </w:tr>
      <w:tr w:rsidR="00D47481" w:rsidTr="00D47481">
        <w:tc>
          <w:tcPr>
            <w:tcW w:w="42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The teacher candidate reflects upon his/her performance.</w:t>
            </w:r>
          </w:p>
        </w:tc>
        <w:tc>
          <w:tcPr>
            <w:tcW w:w="1021"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18</w:t>
            </w:r>
          </w:p>
        </w:tc>
        <w:tc>
          <w:tcPr>
            <w:tcW w:w="80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6</w:t>
            </w:r>
          </w:p>
        </w:tc>
        <w:tc>
          <w:tcPr>
            <w:tcW w:w="1142"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0</w:t>
            </w:r>
          </w:p>
        </w:tc>
        <w:tc>
          <w:tcPr>
            <w:tcW w:w="1207"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75</w:t>
            </w:r>
          </w:p>
        </w:tc>
        <w:tc>
          <w:tcPr>
            <w:tcW w:w="9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-0.75</w:t>
            </w:r>
          </w:p>
        </w:tc>
      </w:tr>
      <w:tr w:rsidR="00D47481" w:rsidTr="00D47481">
        <w:tc>
          <w:tcPr>
            <w:tcW w:w="42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The teacher candidate implements a variety of instructional strategies.</w:t>
            </w:r>
          </w:p>
        </w:tc>
        <w:tc>
          <w:tcPr>
            <w:tcW w:w="1021"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3</w:t>
            </w:r>
          </w:p>
        </w:tc>
        <w:tc>
          <w:tcPr>
            <w:tcW w:w="80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17</w:t>
            </w:r>
          </w:p>
        </w:tc>
        <w:tc>
          <w:tcPr>
            <w:tcW w:w="1142"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4</w:t>
            </w:r>
          </w:p>
        </w:tc>
        <w:tc>
          <w:tcPr>
            <w:tcW w:w="1207"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13</w:t>
            </w:r>
          </w:p>
        </w:tc>
        <w:tc>
          <w:tcPr>
            <w:tcW w:w="9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 xml:space="preserve"> 0.83</w:t>
            </w:r>
          </w:p>
        </w:tc>
      </w:tr>
      <w:tr w:rsidR="00D47481" w:rsidTr="00D47481">
        <w:tc>
          <w:tcPr>
            <w:tcW w:w="42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The teacher candidate values and respects diversity</w:t>
            </w:r>
          </w:p>
        </w:tc>
        <w:tc>
          <w:tcPr>
            <w:tcW w:w="1021"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22</w:t>
            </w:r>
          </w:p>
        </w:tc>
        <w:tc>
          <w:tcPr>
            <w:tcW w:w="80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2</w:t>
            </w:r>
          </w:p>
        </w:tc>
        <w:tc>
          <w:tcPr>
            <w:tcW w:w="1142"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0</w:t>
            </w:r>
          </w:p>
        </w:tc>
        <w:tc>
          <w:tcPr>
            <w:tcW w:w="1207"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92</w:t>
            </w:r>
          </w:p>
        </w:tc>
        <w:tc>
          <w:tcPr>
            <w:tcW w:w="9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 xml:space="preserve"> 0.42</w:t>
            </w:r>
          </w:p>
        </w:tc>
      </w:tr>
      <w:tr w:rsidR="00D47481" w:rsidTr="00D47481">
        <w:tc>
          <w:tcPr>
            <w:tcW w:w="42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The teacher candidate demonstrates an understanding of current research in education.</w:t>
            </w:r>
          </w:p>
        </w:tc>
        <w:tc>
          <w:tcPr>
            <w:tcW w:w="1021"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2</w:t>
            </w:r>
          </w:p>
        </w:tc>
        <w:tc>
          <w:tcPr>
            <w:tcW w:w="80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6</w:t>
            </w:r>
          </w:p>
        </w:tc>
        <w:tc>
          <w:tcPr>
            <w:tcW w:w="1142"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16</w:t>
            </w:r>
          </w:p>
        </w:tc>
        <w:tc>
          <w:tcPr>
            <w:tcW w:w="1207"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8</w:t>
            </w:r>
          </w:p>
        </w:tc>
        <w:tc>
          <w:tcPr>
            <w:tcW w:w="9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 xml:space="preserve"> -0.83</w:t>
            </w:r>
          </w:p>
        </w:tc>
      </w:tr>
      <w:tr w:rsidR="00D47481" w:rsidTr="00D47481">
        <w:tc>
          <w:tcPr>
            <w:tcW w:w="42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The teacher candidate collaborates and is engaged in learning with others.</w:t>
            </w:r>
          </w:p>
        </w:tc>
        <w:tc>
          <w:tcPr>
            <w:tcW w:w="1021"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17</w:t>
            </w:r>
          </w:p>
        </w:tc>
        <w:tc>
          <w:tcPr>
            <w:tcW w:w="80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7</w:t>
            </w:r>
          </w:p>
        </w:tc>
        <w:tc>
          <w:tcPr>
            <w:tcW w:w="1142"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0</w:t>
            </w:r>
          </w:p>
        </w:tc>
        <w:tc>
          <w:tcPr>
            <w:tcW w:w="1207"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71</w:t>
            </w:r>
          </w:p>
        </w:tc>
        <w:tc>
          <w:tcPr>
            <w:tcW w:w="9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 xml:space="preserve"> 0.42</w:t>
            </w:r>
          </w:p>
        </w:tc>
      </w:tr>
      <w:tr w:rsidR="00D47481" w:rsidTr="00D47481">
        <w:tc>
          <w:tcPr>
            <w:tcW w:w="42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The teacher candidate applies pedagogical knowledge to teaching.</w:t>
            </w:r>
          </w:p>
        </w:tc>
        <w:tc>
          <w:tcPr>
            <w:tcW w:w="1021"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3</w:t>
            </w:r>
          </w:p>
        </w:tc>
        <w:tc>
          <w:tcPr>
            <w:tcW w:w="80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18</w:t>
            </w:r>
          </w:p>
        </w:tc>
        <w:tc>
          <w:tcPr>
            <w:tcW w:w="1142"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3</w:t>
            </w:r>
          </w:p>
        </w:tc>
        <w:tc>
          <w:tcPr>
            <w:tcW w:w="1207"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13</w:t>
            </w:r>
          </w:p>
        </w:tc>
        <w:tc>
          <w:tcPr>
            <w:tcW w:w="9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-0.75</w:t>
            </w:r>
          </w:p>
        </w:tc>
      </w:tr>
      <w:tr w:rsidR="00D47481" w:rsidTr="00D47481">
        <w:tc>
          <w:tcPr>
            <w:tcW w:w="42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bCs/>
              </w:rPr>
              <w:t>The teacher candidate believes that all students can learn.</w:t>
            </w:r>
          </w:p>
        </w:tc>
        <w:tc>
          <w:tcPr>
            <w:tcW w:w="1021"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22</w:t>
            </w:r>
          </w:p>
        </w:tc>
        <w:tc>
          <w:tcPr>
            <w:tcW w:w="80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2</w:t>
            </w:r>
          </w:p>
        </w:tc>
        <w:tc>
          <w:tcPr>
            <w:tcW w:w="1142"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0</w:t>
            </w:r>
          </w:p>
        </w:tc>
        <w:tc>
          <w:tcPr>
            <w:tcW w:w="1207"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92</w:t>
            </w:r>
          </w:p>
        </w:tc>
        <w:tc>
          <w:tcPr>
            <w:tcW w:w="990" w:type="dxa"/>
            <w:vAlign w:val="bottom"/>
          </w:tcPr>
          <w:p w:rsidR="00D47481" w:rsidRPr="00D47481" w:rsidRDefault="00D47481" w:rsidP="00D47481">
            <w:pPr>
              <w:rPr>
                <w:rFonts w:ascii="Calibri" w:eastAsia="Calibri" w:hAnsi="Calibri" w:cs="Times New Roman"/>
              </w:rPr>
            </w:pPr>
            <w:r w:rsidRPr="00D47481">
              <w:rPr>
                <w:rFonts w:ascii="Calibri" w:eastAsia="Calibri" w:hAnsi="Calibri" w:cs="Times New Roman"/>
              </w:rPr>
              <w:t xml:space="preserve"> 0.83</w:t>
            </w:r>
          </w:p>
        </w:tc>
      </w:tr>
    </w:tbl>
    <w:p w:rsidR="00992FFA" w:rsidRDefault="00992FFA" w:rsidP="001C7130">
      <w:pPr>
        <w:rPr>
          <w:rFonts w:ascii="Times New Roman" w:hAnsi="Times New Roman" w:cs="Times New Roman"/>
          <w:sz w:val="24"/>
          <w:szCs w:val="24"/>
        </w:rPr>
      </w:pPr>
    </w:p>
    <w:p w:rsidR="00992FFA" w:rsidRDefault="00992FFA" w:rsidP="001C7130">
      <w:pPr>
        <w:rPr>
          <w:rFonts w:ascii="Times New Roman" w:hAnsi="Times New Roman" w:cs="Times New Roman"/>
          <w:sz w:val="24"/>
          <w:szCs w:val="24"/>
          <w:u w:val="single"/>
        </w:rPr>
      </w:pPr>
      <w:r w:rsidRPr="00992FFA">
        <w:rPr>
          <w:rFonts w:ascii="Times New Roman" w:hAnsi="Times New Roman" w:cs="Times New Roman"/>
          <w:sz w:val="24"/>
          <w:szCs w:val="24"/>
          <w:u w:val="single"/>
        </w:rPr>
        <w:t>Field Experience Evaluations</w:t>
      </w:r>
    </w:p>
    <w:p w:rsidR="00992FFA" w:rsidRDefault="00992FFA" w:rsidP="001C7130">
      <w:pPr>
        <w:rPr>
          <w:rFonts w:ascii="Times New Roman" w:hAnsi="Times New Roman" w:cs="Times New Roman"/>
          <w:sz w:val="24"/>
          <w:szCs w:val="24"/>
          <w:u w:val="single"/>
        </w:rPr>
      </w:pPr>
    </w:p>
    <w:p w:rsidR="00D47481" w:rsidRDefault="00992FFA" w:rsidP="001C7130">
      <w:pPr>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Lawshe</w:t>
      </w:r>
      <w:proofErr w:type="spellEnd"/>
      <w:r>
        <w:rPr>
          <w:rFonts w:ascii="Times New Roman" w:hAnsi="Times New Roman" w:cs="Times New Roman"/>
          <w:sz w:val="24"/>
          <w:szCs w:val="24"/>
        </w:rPr>
        <w:t xml:space="preserve"> study was conducted with EPP faculty and Teacher/Principal Advisory Council members on March 1, 2019.  The participants were divided into four groups, one each for Level 1, Level 2, Level 3, and Level 4 field experiences.  Each group was provided a copy of </w:t>
      </w:r>
      <w:proofErr w:type="spellStart"/>
      <w:r>
        <w:rPr>
          <w:rFonts w:ascii="Times New Roman" w:hAnsi="Times New Roman" w:cs="Times New Roman"/>
          <w:sz w:val="24"/>
          <w:szCs w:val="24"/>
        </w:rPr>
        <w:t>InTASC</w:t>
      </w:r>
      <w:proofErr w:type="spellEnd"/>
      <w:r>
        <w:rPr>
          <w:rFonts w:ascii="Times New Roman" w:hAnsi="Times New Roman" w:cs="Times New Roman"/>
          <w:sz w:val="24"/>
          <w:szCs w:val="24"/>
        </w:rPr>
        <w:t xml:space="preserve"> standards, WV Professional Teaching Standards, and the STOT, along with information regarding the requirements for each field experience.  Groups were asked to identify which </w:t>
      </w:r>
      <w:proofErr w:type="spellStart"/>
      <w:r>
        <w:rPr>
          <w:rFonts w:ascii="Times New Roman" w:hAnsi="Times New Roman" w:cs="Times New Roman"/>
          <w:sz w:val="24"/>
          <w:szCs w:val="24"/>
        </w:rPr>
        <w:lastRenderedPageBreak/>
        <w:t>InTASC</w:t>
      </w:r>
      <w:proofErr w:type="spellEnd"/>
      <w:r>
        <w:rPr>
          <w:rFonts w:ascii="Times New Roman" w:hAnsi="Times New Roman" w:cs="Times New Roman"/>
          <w:sz w:val="24"/>
          <w:szCs w:val="24"/>
        </w:rPr>
        <w:t xml:space="preserve"> standard was Essential; Useful but not essential; or Not necessary.  The following chart identifies the results of the study.</w:t>
      </w:r>
    </w:p>
    <w:p w:rsidR="008F3B6A" w:rsidRDefault="008F3B6A" w:rsidP="001C7130">
      <w:pPr>
        <w:rPr>
          <w:rFonts w:ascii="Times New Roman" w:hAnsi="Times New Roman" w:cs="Times New Roman"/>
          <w:sz w:val="24"/>
          <w:szCs w:val="24"/>
        </w:rPr>
      </w:pPr>
    </w:p>
    <w:tbl>
      <w:tblPr>
        <w:tblW w:w="9569" w:type="dxa"/>
        <w:jc w:val="center"/>
        <w:tblLook w:val="04A0" w:firstRow="1" w:lastRow="0" w:firstColumn="1" w:lastColumn="0" w:noHBand="0" w:noVBand="1"/>
      </w:tblPr>
      <w:tblGrid>
        <w:gridCol w:w="3738"/>
        <w:gridCol w:w="1270"/>
        <w:gridCol w:w="1270"/>
        <w:gridCol w:w="1270"/>
        <w:gridCol w:w="1270"/>
        <w:gridCol w:w="736"/>
        <w:gridCol w:w="15"/>
      </w:tblGrid>
      <w:tr w:rsidR="00D47481" w:rsidRPr="00D47481" w:rsidTr="00D47481">
        <w:trPr>
          <w:trHeight w:val="675"/>
          <w:jc w:val="center"/>
        </w:trPr>
        <w:tc>
          <w:tcPr>
            <w:tcW w:w="956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47481" w:rsidRPr="00D47481" w:rsidRDefault="00D47481" w:rsidP="00D47481">
            <w:pPr>
              <w:rPr>
                <w:rFonts w:ascii="Times New Roman" w:hAnsi="Times New Roman" w:cs="Times New Roman"/>
                <w:b/>
                <w:bCs/>
                <w:sz w:val="24"/>
                <w:szCs w:val="24"/>
              </w:rPr>
            </w:pPr>
            <w:proofErr w:type="spellStart"/>
            <w:r w:rsidRPr="00D47481">
              <w:rPr>
                <w:rFonts w:ascii="Times New Roman" w:hAnsi="Times New Roman" w:cs="Times New Roman"/>
                <w:b/>
                <w:bCs/>
                <w:sz w:val="24"/>
                <w:szCs w:val="24"/>
              </w:rPr>
              <w:t>InTASC</w:t>
            </w:r>
            <w:proofErr w:type="spellEnd"/>
            <w:r w:rsidRPr="00D47481">
              <w:rPr>
                <w:rFonts w:ascii="Times New Roman" w:hAnsi="Times New Roman" w:cs="Times New Roman"/>
                <w:b/>
                <w:bCs/>
                <w:sz w:val="24"/>
                <w:szCs w:val="24"/>
              </w:rPr>
              <w:t xml:space="preserve"> Validity Study for Field Experience Evaluations - </w:t>
            </w:r>
            <w:proofErr w:type="spellStart"/>
            <w:r w:rsidRPr="00D47481">
              <w:rPr>
                <w:rFonts w:ascii="Times New Roman" w:hAnsi="Times New Roman" w:cs="Times New Roman"/>
                <w:b/>
                <w:bCs/>
                <w:sz w:val="24"/>
                <w:szCs w:val="24"/>
              </w:rPr>
              <w:t>Lawshe</w:t>
            </w:r>
            <w:proofErr w:type="spellEnd"/>
            <w:r w:rsidRPr="00D47481">
              <w:rPr>
                <w:rFonts w:ascii="Times New Roman" w:hAnsi="Times New Roman" w:cs="Times New Roman"/>
                <w:b/>
                <w:bCs/>
                <w:sz w:val="24"/>
                <w:szCs w:val="24"/>
              </w:rPr>
              <w:t xml:space="preserve">                                                                               </w:t>
            </w:r>
          </w:p>
          <w:p w:rsidR="00D47481" w:rsidRPr="00D47481" w:rsidRDefault="00D47481" w:rsidP="00D47481">
            <w:pPr>
              <w:rPr>
                <w:rFonts w:ascii="Times New Roman" w:hAnsi="Times New Roman" w:cs="Times New Roman"/>
                <w:b/>
                <w:bCs/>
                <w:sz w:val="24"/>
                <w:szCs w:val="24"/>
              </w:rPr>
            </w:pPr>
            <w:r w:rsidRPr="00D47481">
              <w:rPr>
                <w:rFonts w:ascii="Times New Roman" w:hAnsi="Times New Roman" w:cs="Times New Roman"/>
                <w:b/>
                <w:bCs/>
                <w:sz w:val="24"/>
                <w:szCs w:val="24"/>
              </w:rPr>
              <w:t>EPP Faculty and Concord Teacher Advisory Council</w:t>
            </w:r>
          </w:p>
          <w:p w:rsidR="00D47481" w:rsidRPr="00D47481" w:rsidRDefault="00D47481" w:rsidP="00D47481">
            <w:pPr>
              <w:rPr>
                <w:rFonts w:ascii="Times New Roman" w:hAnsi="Times New Roman" w:cs="Times New Roman"/>
                <w:b/>
                <w:bCs/>
                <w:sz w:val="24"/>
                <w:szCs w:val="24"/>
              </w:rPr>
            </w:pPr>
          </w:p>
        </w:tc>
      </w:tr>
      <w:tr w:rsidR="00D47481" w:rsidRPr="00D47481" w:rsidTr="00D47481">
        <w:trPr>
          <w:gridAfter w:val="1"/>
          <w:wAfter w:w="15" w:type="dxa"/>
          <w:trHeight w:val="413"/>
          <w:jc w:val="center"/>
        </w:trPr>
        <w:tc>
          <w:tcPr>
            <w:tcW w:w="3738" w:type="dxa"/>
            <w:tcBorders>
              <w:top w:val="nil"/>
              <w:left w:val="single" w:sz="4" w:space="0" w:color="auto"/>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bCs/>
                <w:sz w:val="24"/>
                <w:szCs w:val="24"/>
              </w:rPr>
            </w:pPr>
            <w:r w:rsidRPr="00D47481">
              <w:rPr>
                <w:rFonts w:ascii="Times New Roman" w:hAnsi="Times New Roman" w:cs="Times New Roman"/>
                <w:b/>
                <w:bCs/>
                <w:sz w:val="24"/>
                <w:szCs w:val="24"/>
              </w:rPr>
              <w:t xml:space="preserve">N=49 (For a panel of 40, 26 Essentials are needed or a CVR of </w:t>
            </w: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bCs/>
                <w:sz w:val="24"/>
                <w:szCs w:val="24"/>
              </w:rPr>
            </w:pPr>
            <w:r w:rsidRPr="00D47481">
              <w:rPr>
                <w:rFonts w:ascii="Times New Roman" w:hAnsi="Times New Roman" w:cs="Times New Roman"/>
                <w:b/>
                <w:bCs/>
                <w:sz w:val="24"/>
                <w:szCs w:val="24"/>
              </w:rPr>
              <w:t>Level 1 Standards Identified as Essential</w:t>
            </w:r>
          </w:p>
          <w:p w:rsidR="00D47481" w:rsidRPr="00D47481" w:rsidRDefault="00D47481" w:rsidP="00D47481">
            <w:pPr>
              <w:rPr>
                <w:rFonts w:ascii="Times New Roman" w:hAnsi="Times New Roman" w:cs="Times New Roman"/>
                <w:b/>
                <w:bCs/>
                <w:sz w:val="24"/>
                <w:szCs w:val="24"/>
              </w:rPr>
            </w:pPr>
            <w:r w:rsidRPr="00D47481">
              <w:rPr>
                <w:rFonts w:ascii="Times New Roman" w:hAnsi="Times New Roman" w:cs="Times New Roman"/>
                <w:b/>
                <w:bCs/>
                <w:sz w:val="24"/>
                <w:szCs w:val="24"/>
              </w:rPr>
              <w:t>(100%)</w:t>
            </w: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bCs/>
                <w:sz w:val="24"/>
                <w:szCs w:val="24"/>
              </w:rPr>
            </w:pPr>
            <w:r w:rsidRPr="00D47481">
              <w:rPr>
                <w:rFonts w:ascii="Times New Roman" w:hAnsi="Times New Roman" w:cs="Times New Roman"/>
                <w:b/>
                <w:bCs/>
                <w:sz w:val="24"/>
                <w:szCs w:val="24"/>
              </w:rPr>
              <w:t>Level II Standards Identified as Essential</w:t>
            </w:r>
          </w:p>
          <w:p w:rsidR="00D47481" w:rsidRPr="00D47481" w:rsidRDefault="00D47481" w:rsidP="00D47481">
            <w:pPr>
              <w:rPr>
                <w:rFonts w:ascii="Times New Roman" w:hAnsi="Times New Roman" w:cs="Times New Roman"/>
                <w:b/>
                <w:bCs/>
                <w:sz w:val="24"/>
                <w:szCs w:val="24"/>
              </w:rPr>
            </w:pPr>
            <w:r w:rsidRPr="00D47481">
              <w:rPr>
                <w:rFonts w:ascii="Times New Roman" w:hAnsi="Times New Roman" w:cs="Times New Roman"/>
                <w:b/>
                <w:bCs/>
                <w:sz w:val="24"/>
                <w:szCs w:val="24"/>
              </w:rPr>
              <w:t>(100%)</w:t>
            </w: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bCs/>
                <w:sz w:val="24"/>
                <w:szCs w:val="24"/>
              </w:rPr>
            </w:pPr>
            <w:r w:rsidRPr="00D47481">
              <w:rPr>
                <w:rFonts w:ascii="Times New Roman" w:hAnsi="Times New Roman" w:cs="Times New Roman"/>
                <w:b/>
                <w:bCs/>
                <w:sz w:val="24"/>
                <w:szCs w:val="24"/>
              </w:rPr>
              <w:t>Level III Standards Identified as Essential</w:t>
            </w:r>
          </w:p>
          <w:p w:rsidR="00D47481" w:rsidRPr="00D47481" w:rsidRDefault="00D47481" w:rsidP="00D47481">
            <w:pPr>
              <w:rPr>
                <w:rFonts w:ascii="Times New Roman" w:hAnsi="Times New Roman" w:cs="Times New Roman"/>
                <w:b/>
                <w:bCs/>
                <w:sz w:val="24"/>
                <w:szCs w:val="24"/>
              </w:rPr>
            </w:pPr>
            <w:r w:rsidRPr="00D47481">
              <w:rPr>
                <w:rFonts w:ascii="Times New Roman" w:hAnsi="Times New Roman" w:cs="Times New Roman"/>
                <w:b/>
                <w:bCs/>
                <w:sz w:val="24"/>
                <w:szCs w:val="24"/>
              </w:rPr>
              <w:t>(100%)</w:t>
            </w:r>
          </w:p>
        </w:tc>
        <w:tc>
          <w:tcPr>
            <w:tcW w:w="1270" w:type="dxa"/>
            <w:tcBorders>
              <w:top w:val="nil"/>
              <w:left w:val="nil"/>
              <w:bottom w:val="single" w:sz="4" w:space="0" w:color="auto"/>
              <w:right w:val="single" w:sz="4" w:space="0" w:color="auto"/>
            </w:tcBorders>
            <w:shd w:val="clear" w:color="auto" w:fill="auto"/>
            <w:vAlign w:val="bottom"/>
            <w:hideMark/>
          </w:tcPr>
          <w:p w:rsidR="00D47481" w:rsidRPr="00D47481" w:rsidRDefault="00D47481" w:rsidP="00D47481">
            <w:pPr>
              <w:rPr>
                <w:rFonts w:ascii="Times New Roman" w:hAnsi="Times New Roman" w:cs="Times New Roman"/>
                <w:b/>
                <w:bCs/>
                <w:sz w:val="24"/>
                <w:szCs w:val="24"/>
              </w:rPr>
            </w:pPr>
            <w:r w:rsidRPr="00D47481">
              <w:rPr>
                <w:rFonts w:ascii="Times New Roman" w:hAnsi="Times New Roman" w:cs="Times New Roman"/>
                <w:b/>
                <w:bCs/>
                <w:sz w:val="24"/>
                <w:szCs w:val="24"/>
              </w:rPr>
              <w:t>Level IV Standards Identified as Essential</w:t>
            </w:r>
          </w:p>
          <w:p w:rsidR="00D47481" w:rsidRPr="00D47481" w:rsidRDefault="00D47481" w:rsidP="00D47481">
            <w:pPr>
              <w:rPr>
                <w:rFonts w:ascii="Times New Roman" w:hAnsi="Times New Roman" w:cs="Times New Roman"/>
                <w:b/>
                <w:bCs/>
                <w:sz w:val="24"/>
                <w:szCs w:val="24"/>
              </w:rPr>
            </w:pPr>
            <w:r w:rsidRPr="00D47481">
              <w:rPr>
                <w:rFonts w:ascii="Times New Roman" w:hAnsi="Times New Roman" w:cs="Times New Roman"/>
                <w:b/>
                <w:bCs/>
                <w:sz w:val="24"/>
                <w:szCs w:val="24"/>
              </w:rPr>
              <w:t>(100%)</w:t>
            </w:r>
          </w:p>
        </w:tc>
        <w:tc>
          <w:tcPr>
            <w:tcW w:w="736"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bCs/>
                <w:sz w:val="24"/>
                <w:szCs w:val="24"/>
              </w:rPr>
            </w:pPr>
            <w:r w:rsidRPr="00D47481">
              <w:rPr>
                <w:rFonts w:ascii="Times New Roman" w:hAnsi="Times New Roman" w:cs="Times New Roman"/>
                <w:b/>
                <w:bCs/>
                <w:sz w:val="24"/>
                <w:szCs w:val="24"/>
              </w:rPr>
              <w:t>CVR</w:t>
            </w:r>
          </w:p>
        </w:tc>
      </w:tr>
      <w:tr w:rsidR="00D47481" w:rsidRPr="00D47481" w:rsidTr="00D47481">
        <w:trPr>
          <w:gridAfter w:val="1"/>
          <w:wAfter w:w="15" w:type="dxa"/>
          <w:trHeight w:val="845"/>
          <w:jc w:val="center"/>
        </w:trPr>
        <w:tc>
          <w:tcPr>
            <w:tcW w:w="3738" w:type="dxa"/>
            <w:tcBorders>
              <w:top w:val="nil"/>
              <w:left w:val="single" w:sz="4" w:space="0" w:color="auto"/>
              <w:bottom w:val="single" w:sz="4" w:space="0" w:color="auto"/>
              <w:right w:val="single" w:sz="4" w:space="0" w:color="auto"/>
            </w:tcBorders>
            <w:shd w:val="clear" w:color="auto" w:fill="auto"/>
            <w:vAlign w:val="bottom"/>
            <w:hideMark/>
          </w:tcPr>
          <w:p w:rsidR="00D47481" w:rsidRPr="00D47481" w:rsidRDefault="00D47481" w:rsidP="00D47481">
            <w:pPr>
              <w:rPr>
                <w:rFonts w:ascii="Times New Roman" w:hAnsi="Times New Roman" w:cs="Times New Roman"/>
                <w:sz w:val="24"/>
                <w:szCs w:val="24"/>
              </w:rPr>
            </w:pPr>
            <w:r w:rsidRPr="00D47481">
              <w:rPr>
                <w:rFonts w:ascii="Times New Roman" w:hAnsi="Times New Roman" w:cs="Times New Roman"/>
                <w:b/>
                <w:bCs/>
                <w:sz w:val="24"/>
                <w:szCs w:val="24"/>
              </w:rPr>
              <w:t>Standard #1: Learner Development</w:t>
            </w:r>
            <w:r w:rsidRPr="00D47481">
              <w:rPr>
                <w:rFonts w:ascii="Times New Roman" w:hAnsi="Times New Roman" w:cs="Times New Roman"/>
                <w:sz w:val="24"/>
                <w:szCs w:val="24"/>
              </w:rPr>
              <w:t>. The teacher understands how children learn and develop, recognizing that patterns of learning and development vary individually within and across the cognitive, linguistic, social, emotional, and physical areas, and designs and implements developmentally appropriate and challenging learning experiences.</w:t>
            </w: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X</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X</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X</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X</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736"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1</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r>
      <w:tr w:rsidR="00D47481" w:rsidRPr="00D47481" w:rsidTr="00D47481">
        <w:trPr>
          <w:gridAfter w:val="1"/>
          <w:wAfter w:w="15" w:type="dxa"/>
          <w:trHeight w:val="900"/>
          <w:jc w:val="center"/>
        </w:trPr>
        <w:tc>
          <w:tcPr>
            <w:tcW w:w="3738" w:type="dxa"/>
            <w:tcBorders>
              <w:top w:val="nil"/>
              <w:left w:val="single" w:sz="4" w:space="0" w:color="auto"/>
              <w:bottom w:val="single" w:sz="4" w:space="0" w:color="auto"/>
              <w:right w:val="single" w:sz="4" w:space="0" w:color="auto"/>
            </w:tcBorders>
            <w:shd w:val="clear" w:color="auto" w:fill="auto"/>
            <w:vAlign w:val="bottom"/>
            <w:hideMark/>
          </w:tcPr>
          <w:p w:rsidR="00D47481" w:rsidRPr="00D47481" w:rsidRDefault="00D47481" w:rsidP="00D47481">
            <w:pPr>
              <w:rPr>
                <w:rFonts w:ascii="Times New Roman" w:hAnsi="Times New Roman" w:cs="Times New Roman"/>
                <w:sz w:val="24"/>
                <w:szCs w:val="24"/>
              </w:rPr>
            </w:pPr>
            <w:r w:rsidRPr="00D47481">
              <w:rPr>
                <w:rFonts w:ascii="Times New Roman" w:hAnsi="Times New Roman" w:cs="Times New Roman"/>
                <w:b/>
                <w:bCs/>
                <w:sz w:val="24"/>
                <w:szCs w:val="24"/>
              </w:rPr>
              <w:t>Standard #2: Learning Differences</w:t>
            </w:r>
            <w:r w:rsidRPr="00D47481">
              <w:rPr>
                <w:rFonts w:ascii="Times New Roman" w:hAnsi="Times New Roman" w:cs="Times New Roman"/>
                <w:sz w:val="24"/>
                <w:szCs w:val="24"/>
              </w:rPr>
              <w:t>. The teacher uses understanding of individual differences and diverse communities to ensure inclusive learning environments that allow each learner to meet high standards.</w:t>
            </w: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X</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X</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X</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X</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736"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1</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r>
      <w:tr w:rsidR="00D47481" w:rsidRPr="00D47481" w:rsidTr="00D47481">
        <w:trPr>
          <w:gridAfter w:val="1"/>
          <w:wAfter w:w="15" w:type="dxa"/>
          <w:trHeight w:val="900"/>
          <w:jc w:val="center"/>
        </w:trPr>
        <w:tc>
          <w:tcPr>
            <w:tcW w:w="3738" w:type="dxa"/>
            <w:tcBorders>
              <w:top w:val="nil"/>
              <w:left w:val="single" w:sz="4" w:space="0" w:color="auto"/>
              <w:bottom w:val="single" w:sz="4" w:space="0" w:color="auto"/>
              <w:right w:val="single" w:sz="4" w:space="0" w:color="auto"/>
            </w:tcBorders>
            <w:shd w:val="clear" w:color="auto" w:fill="auto"/>
            <w:vAlign w:val="bottom"/>
            <w:hideMark/>
          </w:tcPr>
          <w:p w:rsidR="00D47481" w:rsidRPr="00D47481" w:rsidRDefault="00D47481" w:rsidP="00D47481">
            <w:pPr>
              <w:rPr>
                <w:rFonts w:ascii="Times New Roman" w:hAnsi="Times New Roman" w:cs="Times New Roman"/>
                <w:sz w:val="24"/>
                <w:szCs w:val="24"/>
              </w:rPr>
            </w:pPr>
            <w:r w:rsidRPr="00D47481">
              <w:rPr>
                <w:rFonts w:ascii="Times New Roman" w:hAnsi="Times New Roman" w:cs="Times New Roman"/>
                <w:b/>
                <w:bCs/>
                <w:sz w:val="24"/>
                <w:szCs w:val="24"/>
              </w:rPr>
              <w:t>Standard #3: Learning Environments</w:t>
            </w:r>
            <w:r w:rsidRPr="00D47481">
              <w:rPr>
                <w:rFonts w:ascii="Times New Roman" w:hAnsi="Times New Roman" w:cs="Times New Roman"/>
                <w:sz w:val="24"/>
                <w:szCs w:val="24"/>
              </w:rPr>
              <w:t>. The teacher works with learners to create environments that support individual and collaborative learning and that encourage positive social interaction, active engagement in learning, and self-motivation.</w:t>
            </w: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X</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X</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X</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X</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736"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1</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r>
      <w:tr w:rsidR="00D47481" w:rsidRPr="00D47481" w:rsidTr="00D47481">
        <w:trPr>
          <w:gridAfter w:val="1"/>
          <w:wAfter w:w="15" w:type="dxa"/>
          <w:trHeight w:val="557"/>
          <w:jc w:val="center"/>
        </w:trPr>
        <w:tc>
          <w:tcPr>
            <w:tcW w:w="3738" w:type="dxa"/>
            <w:tcBorders>
              <w:top w:val="nil"/>
              <w:left w:val="single" w:sz="4" w:space="0" w:color="auto"/>
              <w:bottom w:val="single" w:sz="4" w:space="0" w:color="auto"/>
              <w:right w:val="single" w:sz="4" w:space="0" w:color="auto"/>
            </w:tcBorders>
            <w:shd w:val="clear" w:color="auto" w:fill="auto"/>
            <w:vAlign w:val="bottom"/>
            <w:hideMark/>
          </w:tcPr>
          <w:p w:rsidR="00D47481" w:rsidRPr="00D47481" w:rsidRDefault="00D47481" w:rsidP="00D47481">
            <w:pPr>
              <w:rPr>
                <w:rFonts w:ascii="Times New Roman" w:hAnsi="Times New Roman" w:cs="Times New Roman"/>
                <w:sz w:val="24"/>
                <w:szCs w:val="24"/>
              </w:rPr>
            </w:pPr>
            <w:r w:rsidRPr="00D47481">
              <w:rPr>
                <w:rFonts w:ascii="Times New Roman" w:hAnsi="Times New Roman" w:cs="Times New Roman"/>
                <w:b/>
                <w:bCs/>
                <w:sz w:val="24"/>
                <w:szCs w:val="24"/>
              </w:rPr>
              <w:t>Standard #4: Content Knowledge</w:t>
            </w:r>
            <w:r w:rsidRPr="00D47481">
              <w:rPr>
                <w:rFonts w:ascii="Times New Roman" w:hAnsi="Times New Roman" w:cs="Times New Roman"/>
                <w:sz w:val="24"/>
                <w:szCs w:val="24"/>
              </w:rPr>
              <w:t xml:space="preserve">. The teacher understands the central concepts, tools of inquiry, and structures of the discipline(s) he or she teaches and creates learning experiences that make these aspects of the discipline accessible and meaningful for learners to assure </w:t>
            </w:r>
            <w:r w:rsidRPr="00D47481">
              <w:rPr>
                <w:rFonts w:ascii="Times New Roman" w:hAnsi="Times New Roman" w:cs="Times New Roman"/>
                <w:sz w:val="24"/>
                <w:szCs w:val="24"/>
              </w:rPr>
              <w:lastRenderedPageBreak/>
              <w:t>mastery of the content.</w:t>
            </w: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X</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X</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X</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736"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1</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r>
      <w:tr w:rsidR="00D47481" w:rsidRPr="00D47481" w:rsidTr="00D47481">
        <w:trPr>
          <w:gridAfter w:val="1"/>
          <w:wAfter w:w="15" w:type="dxa"/>
          <w:trHeight w:val="611"/>
          <w:jc w:val="center"/>
        </w:trPr>
        <w:tc>
          <w:tcPr>
            <w:tcW w:w="3738" w:type="dxa"/>
            <w:tcBorders>
              <w:top w:val="nil"/>
              <w:left w:val="single" w:sz="4" w:space="0" w:color="auto"/>
              <w:bottom w:val="single" w:sz="4" w:space="0" w:color="auto"/>
              <w:right w:val="single" w:sz="4" w:space="0" w:color="auto"/>
            </w:tcBorders>
            <w:shd w:val="clear" w:color="auto" w:fill="auto"/>
            <w:vAlign w:val="bottom"/>
            <w:hideMark/>
          </w:tcPr>
          <w:p w:rsidR="00D47481" w:rsidRPr="00D47481" w:rsidRDefault="00D47481" w:rsidP="00D47481">
            <w:pPr>
              <w:rPr>
                <w:rFonts w:ascii="Times New Roman" w:hAnsi="Times New Roman" w:cs="Times New Roman"/>
                <w:sz w:val="24"/>
                <w:szCs w:val="24"/>
              </w:rPr>
            </w:pPr>
            <w:r w:rsidRPr="00D47481">
              <w:rPr>
                <w:rFonts w:ascii="Times New Roman" w:hAnsi="Times New Roman" w:cs="Times New Roman"/>
                <w:b/>
                <w:bCs/>
                <w:sz w:val="24"/>
                <w:szCs w:val="24"/>
              </w:rPr>
              <w:lastRenderedPageBreak/>
              <w:t>Standard #5: Applications of Content</w:t>
            </w:r>
            <w:r w:rsidRPr="00D47481">
              <w:rPr>
                <w:rFonts w:ascii="Times New Roman" w:hAnsi="Times New Roman" w:cs="Times New Roman"/>
                <w:sz w:val="24"/>
                <w:szCs w:val="24"/>
              </w:rPr>
              <w:t>. The teacher understands how to connect concepts and use differing perspectives to engage learners in critical/creative thinking and collaborative problem solving related to authentic local and global issues.</w:t>
            </w: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X</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X</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736"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1</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r>
      <w:tr w:rsidR="00D47481" w:rsidRPr="00D47481" w:rsidTr="00D47481">
        <w:trPr>
          <w:gridAfter w:val="1"/>
          <w:wAfter w:w="15" w:type="dxa"/>
          <w:trHeight w:val="539"/>
          <w:jc w:val="center"/>
        </w:trPr>
        <w:tc>
          <w:tcPr>
            <w:tcW w:w="3738" w:type="dxa"/>
            <w:tcBorders>
              <w:top w:val="nil"/>
              <w:left w:val="single" w:sz="4" w:space="0" w:color="auto"/>
              <w:bottom w:val="single" w:sz="4" w:space="0" w:color="auto"/>
              <w:right w:val="single" w:sz="4" w:space="0" w:color="auto"/>
            </w:tcBorders>
            <w:shd w:val="clear" w:color="auto" w:fill="auto"/>
            <w:vAlign w:val="bottom"/>
            <w:hideMark/>
          </w:tcPr>
          <w:p w:rsidR="00D47481" w:rsidRPr="00D47481" w:rsidRDefault="00D47481" w:rsidP="00D47481">
            <w:pPr>
              <w:rPr>
                <w:rFonts w:ascii="Times New Roman" w:hAnsi="Times New Roman" w:cs="Times New Roman"/>
                <w:sz w:val="24"/>
                <w:szCs w:val="24"/>
              </w:rPr>
            </w:pPr>
            <w:r w:rsidRPr="00D47481">
              <w:rPr>
                <w:rFonts w:ascii="Times New Roman" w:hAnsi="Times New Roman" w:cs="Times New Roman"/>
                <w:b/>
                <w:bCs/>
                <w:sz w:val="24"/>
                <w:szCs w:val="24"/>
              </w:rPr>
              <w:t>Standard #6: Assessment</w:t>
            </w:r>
            <w:r w:rsidRPr="00D47481">
              <w:rPr>
                <w:rFonts w:ascii="Times New Roman" w:hAnsi="Times New Roman" w:cs="Times New Roman"/>
                <w:sz w:val="24"/>
                <w:szCs w:val="24"/>
              </w:rPr>
              <w:t>. The teacher understands and uses multiple methods of assessment to engage learners in their own growth, to monitor learner progress, and to guide the teachers’ and learner’s decision making.</w:t>
            </w: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X</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X</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X</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736"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1</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r>
      <w:tr w:rsidR="00D47481" w:rsidRPr="00D47481" w:rsidTr="00D47481">
        <w:trPr>
          <w:gridAfter w:val="1"/>
          <w:wAfter w:w="15" w:type="dxa"/>
          <w:trHeight w:val="485"/>
          <w:jc w:val="center"/>
        </w:trPr>
        <w:tc>
          <w:tcPr>
            <w:tcW w:w="3738" w:type="dxa"/>
            <w:tcBorders>
              <w:top w:val="nil"/>
              <w:left w:val="single" w:sz="4" w:space="0" w:color="auto"/>
              <w:bottom w:val="single" w:sz="4" w:space="0" w:color="auto"/>
              <w:right w:val="single" w:sz="4" w:space="0" w:color="auto"/>
            </w:tcBorders>
            <w:shd w:val="clear" w:color="auto" w:fill="auto"/>
            <w:vAlign w:val="bottom"/>
            <w:hideMark/>
          </w:tcPr>
          <w:p w:rsidR="00D47481" w:rsidRPr="00D47481" w:rsidRDefault="00D47481" w:rsidP="00D47481">
            <w:pPr>
              <w:rPr>
                <w:rFonts w:ascii="Times New Roman" w:hAnsi="Times New Roman" w:cs="Times New Roman"/>
                <w:sz w:val="24"/>
                <w:szCs w:val="24"/>
              </w:rPr>
            </w:pPr>
            <w:r w:rsidRPr="00D47481">
              <w:rPr>
                <w:rFonts w:ascii="Times New Roman" w:hAnsi="Times New Roman" w:cs="Times New Roman"/>
                <w:b/>
                <w:bCs/>
                <w:sz w:val="24"/>
                <w:szCs w:val="24"/>
              </w:rPr>
              <w:t>Standard #7: Planning for Instruction</w:t>
            </w:r>
            <w:r w:rsidRPr="00D47481">
              <w:rPr>
                <w:rFonts w:ascii="Times New Roman" w:hAnsi="Times New Roman" w:cs="Times New Roman"/>
                <w:sz w:val="24"/>
                <w:szCs w:val="24"/>
              </w:rPr>
              <w:t>. The teacher plans instruction that supports every student in meeting rigorous learning goals by drawing upon knowledge of content areas, cross-disciplinary skills, and pedagogy, as well as knowledge of learners and the community context.</w:t>
            </w: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X</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X</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X</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736"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1</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r>
      <w:tr w:rsidR="00D47481" w:rsidRPr="00D47481" w:rsidTr="00D47481">
        <w:trPr>
          <w:gridAfter w:val="1"/>
          <w:wAfter w:w="15" w:type="dxa"/>
          <w:trHeight w:val="836"/>
          <w:jc w:val="center"/>
        </w:trPr>
        <w:tc>
          <w:tcPr>
            <w:tcW w:w="3738" w:type="dxa"/>
            <w:tcBorders>
              <w:top w:val="nil"/>
              <w:left w:val="single" w:sz="4" w:space="0" w:color="auto"/>
              <w:bottom w:val="single" w:sz="4" w:space="0" w:color="auto"/>
              <w:right w:val="single" w:sz="4" w:space="0" w:color="auto"/>
            </w:tcBorders>
            <w:shd w:val="clear" w:color="auto" w:fill="auto"/>
            <w:vAlign w:val="bottom"/>
            <w:hideMark/>
          </w:tcPr>
          <w:p w:rsidR="00D47481" w:rsidRPr="00D47481" w:rsidRDefault="00D47481" w:rsidP="00D47481">
            <w:pPr>
              <w:rPr>
                <w:rFonts w:ascii="Times New Roman" w:hAnsi="Times New Roman" w:cs="Times New Roman"/>
                <w:sz w:val="24"/>
                <w:szCs w:val="24"/>
              </w:rPr>
            </w:pPr>
            <w:r w:rsidRPr="00D47481">
              <w:rPr>
                <w:rFonts w:ascii="Times New Roman" w:hAnsi="Times New Roman" w:cs="Times New Roman"/>
                <w:b/>
                <w:bCs/>
                <w:sz w:val="24"/>
                <w:szCs w:val="24"/>
              </w:rPr>
              <w:t xml:space="preserve">Standard #8: Instructional Strategies. </w:t>
            </w:r>
            <w:r w:rsidRPr="00D47481">
              <w:rPr>
                <w:rFonts w:ascii="Times New Roman" w:hAnsi="Times New Roman" w:cs="Times New Roman"/>
                <w:sz w:val="24"/>
                <w:szCs w:val="24"/>
              </w:rPr>
              <w:t>The teacher understands and uses a variety of instructional strategies to encourage learners to develop deep understanding of content areas and their connections, and to build skills to apply knowledge in meaningful ways.</w:t>
            </w: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X</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X</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736"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1</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r>
      <w:tr w:rsidR="00D47481" w:rsidRPr="00D47481" w:rsidTr="00D47481">
        <w:trPr>
          <w:gridAfter w:val="1"/>
          <w:wAfter w:w="15" w:type="dxa"/>
          <w:trHeight w:val="539"/>
          <w:jc w:val="center"/>
        </w:trPr>
        <w:tc>
          <w:tcPr>
            <w:tcW w:w="3738" w:type="dxa"/>
            <w:tcBorders>
              <w:top w:val="nil"/>
              <w:left w:val="single" w:sz="4" w:space="0" w:color="auto"/>
              <w:bottom w:val="single" w:sz="4" w:space="0" w:color="auto"/>
              <w:right w:val="single" w:sz="4" w:space="0" w:color="auto"/>
            </w:tcBorders>
            <w:shd w:val="clear" w:color="auto" w:fill="auto"/>
            <w:vAlign w:val="bottom"/>
            <w:hideMark/>
          </w:tcPr>
          <w:p w:rsidR="00D47481" w:rsidRPr="00D47481" w:rsidRDefault="00D47481" w:rsidP="00D47481">
            <w:pPr>
              <w:rPr>
                <w:rFonts w:ascii="Times New Roman" w:hAnsi="Times New Roman" w:cs="Times New Roman"/>
                <w:sz w:val="24"/>
                <w:szCs w:val="24"/>
              </w:rPr>
            </w:pPr>
            <w:r w:rsidRPr="00D47481">
              <w:rPr>
                <w:rFonts w:ascii="Times New Roman" w:hAnsi="Times New Roman" w:cs="Times New Roman"/>
                <w:b/>
                <w:bCs/>
                <w:sz w:val="24"/>
                <w:szCs w:val="24"/>
              </w:rPr>
              <w:t xml:space="preserve">Standard #9: Professional Learning and Ethical Practice. </w:t>
            </w:r>
            <w:r w:rsidRPr="00D47481">
              <w:rPr>
                <w:rFonts w:ascii="Times New Roman" w:hAnsi="Times New Roman" w:cs="Times New Roman"/>
                <w:sz w:val="24"/>
                <w:szCs w:val="24"/>
              </w:rPr>
              <w:t>The teacher engages in ongoing professional learning and uses evidence to continually evaluate his/her practice, particularly the effects of his/her choices and actions on others (learners, families, and other professionals, and the learning community), and adapts practice to meet the needs of each learner.</w:t>
            </w: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X</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X</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X</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X</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736"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1</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r>
      <w:tr w:rsidR="00D47481" w:rsidRPr="00D47481" w:rsidTr="00D47481">
        <w:trPr>
          <w:gridAfter w:val="1"/>
          <w:wAfter w:w="15" w:type="dxa"/>
          <w:trHeight w:val="1560"/>
          <w:jc w:val="center"/>
        </w:trPr>
        <w:tc>
          <w:tcPr>
            <w:tcW w:w="3738" w:type="dxa"/>
            <w:tcBorders>
              <w:top w:val="nil"/>
              <w:left w:val="single" w:sz="4" w:space="0" w:color="auto"/>
              <w:bottom w:val="single" w:sz="4" w:space="0" w:color="auto"/>
              <w:right w:val="single" w:sz="4" w:space="0" w:color="auto"/>
            </w:tcBorders>
            <w:shd w:val="clear" w:color="auto" w:fill="auto"/>
            <w:vAlign w:val="bottom"/>
            <w:hideMark/>
          </w:tcPr>
          <w:p w:rsidR="00D47481" w:rsidRPr="00D47481" w:rsidRDefault="00D47481" w:rsidP="00D47481">
            <w:pPr>
              <w:rPr>
                <w:rFonts w:ascii="Times New Roman" w:hAnsi="Times New Roman" w:cs="Times New Roman"/>
                <w:sz w:val="24"/>
                <w:szCs w:val="24"/>
              </w:rPr>
            </w:pPr>
            <w:r w:rsidRPr="00D47481">
              <w:rPr>
                <w:rFonts w:ascii="Times New Roman" w:hAnsi="Times New Roman" w:cs="Times New Roman"/>
                <w:b/>
                <w:bCs/>
                <w:sz w:val="24"/>
                <w:szCs w:val="24"/>
              </w:rPr>
              <w:lastRenderedPageBreak/>
              <w:t xml:space="preserve">Standard #10: Leadership and Collaboration. </w:t>
            </w:r>
            <w:r w:rsidRPr="00D47481">
              <w:rPr>
                <w:rFonts w:ascii="Times New Roman" w:hAnsi="Times New Roman" w:cs="Times New Roman"/>
                <w:sz w:val="24"/>
                <w:szCs w:val="24"/>
              </w:rPr>
              <w:t>The teacher seeks appropriate leadership roles and opportunities to take responsibility for student learning, to collaborate with learners, families, colleagues, other professionals, and community members to ensure learner growth, and to advance the profession.</w:t>
            </w: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p>
        </w:tc>
        <w:tc>
          <w:tcPr>
            <w:tcW w:w="1270"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X</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c>
          <w:tcPr>
            <w:tcW w:w="736" w:type="dxa"/>
            <w:tcBorders>
              <w:top w:val="nil"/>
              <w:left w:val="nil"/>
              <w:bottom w:val="single" w:sz="4" w:space="0" w:color="auto"/>
              <w:right w:val="single" w:sz="4" w:space="0" w:color="auto"/>
            </w:tcBorders>
            <w:shd w:val="clear" w:color="auto" w:fill="auto"/>
            <w:noWrap/>
            <w:vAlign w:val="bottom"/>
            <w:hideMark/>
          </w:tcPr>
          <w:p w:rsidR="00D47481" w:rsidRPr="00D47481" w:rsidRDefault="00D47481" w:rsidP="00D47481">
            <w:pPr>
              <w:rPr>
                <w:rFonts w:ascii="Times New Roman" w:hAnsi="Times New Roman" w:cs="Times New Roman"/>
                <w:b/>
                <w:sz w:val="24"/>
                <w:szCs w:val="24"/>
              </w:rPr>
            </w:pPr>
            <w:r w:rsidRPr="00D47481">
              <w:rPr>
                <w:rFonts w:ascii="Times New Roman" w:hAnsi="Times New Roman" w:cs="Times New Roman"/>
                <w:b/>
                <w:sz w:val="24"/>
                <w:szCs w:val="24"/>
              </w:rPr>
              <w:t>1</w:t>
            </w: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p w:rsidR="00D47481" w:rsidRPr="00D47481" w:rsidRDefault="00D47481" w:rsidP="00D47481">
            <w:pPr>
              <w:rPr>
                <w:rFonts w:ascii="Times New Roman" w:hAnsi="Times New Roman" w:cs="Times New Roman"/>
                <w:b/>
                <w:sz w:val="24"/>
                <w:szCs w:val="24"/>
              </w:rPr>
            </w:pPr>
          </w:p>
        </w:tc>
      </w:tr>
    </w:tbl>
    <w:p w:rsidR="00D47481" w:rsidRDefault="00D47481" w:rsidP="001C7130">
      <w:pPr>
        <w:rPr>
          <w:rFonts w:ascii="Times New Roman" w:hAnsi="Times New Roman" w:cs="Times New Roman"/>
          <w:b/>
          <w:sz w:val="24"/>
          <w:szCs w:val="24"/>
        </w:rPr>
      </w:pPr>
    </w:p>
    <w:p w:rsidR="001C7130" w:rsidRPr="00B5722F" w:rsidRDefault="00B5722F" w:rsidP="001C7130">
      <w:pPr>
        <w:rPr>
          <w:rFonts w:ascii="Times New Roman" w:hAnsi="Times New Roman" w:cs="Times New Roman"/>
          <w:b/>
          <w:sz w:val="24"/>
          <w:szCs w:val="24"/>
        </w:rPr>
      </w:pPr>
      <w:r w:rsidRPr="00B5722F">
        <w:rPr>
          <w:rFonts w:ascii="Times New Roman" w:hAnsi="Times New Roman" w:cs="Times New Roman"/>
          <w:b/>
          <w:sz w:val="24"/>
          <w:szCs w:val="24"/>
        </w:rPr>
        <w:t>Key Assessment Reliability</w:t>
      </w:r>
    </w:p>
    <w:p w:rsidR="001C7130" w:rsidRDefault="001C7130" w:rsidP="001C7130">
      <w:pPr>
        <w:rPr>
          <w:rFonts w:ascii="Times New Roman" w:hAnsi="Times New Roman" w:cs="Times New Roman"/>
          <w:sz w:val="24"/>
          <w:szCs w:val="24"/>
        </w:rPr>
      </w:pPr>
    </w:p>
    <w:p w:rsidR="00E47A60" w:rsidRDefault="000058AD" w:rsidP="000058AD">
      <w:pPr>
        <w:rPr>
          <w:rFonts w:ascii="Times New Roman" w:hAnsi="Times New Roman" w:cs="Times New Roman"/>
          <w:sz w:val="24"/>
          <w:szCs w:val="24"/>
        </w:rPr>
      </w:pPr>
      <w:r w:rsidRPr="000058AD">
        <w:rPr>
          <w:rFonts w:ascii="Times New Roman" w:hAnsi="Times New Roman" w:cs="Times New Roman"/>
          <w:sz w:val="24"/>
          <w:szCs w:val="24"/>
        </w:rPr>
        <w:t>Reliability refers to the ability of an assessment to measure candida</w:t>
      </w:r>
      <w:r>
        <w:rPr>
          <w:rFonts w:ascii="Times New Roman" w:hAnsi="Times New Roman" w:cs="Times New Roman"/>
          <w:sz w:val="24"/>
          <w:szCs w:val="24"/>
        </w:rPr>
        <w:t xml:space="preserve">te characteristics or knowledge </w:t>
      </w:r>
      <w:r w:rsidRPr="000058AD">
        <w:rPr>
          <w:rFonts w:ascii="Times New Roman" w:hAnsi="Times New Roman" w:cs="Times New Roman"/>
          <w:sz w:val="24"/>
          <w:szCs w:val="24"/>
        </w:rPr>
        <w:t>consistently</w:t>
      </w:r>
      <w:r>
        <w:rPr>
          <w:rFonts w:ascii="Times New Roman" w:hAnsi="Times New Roman" w:cs="Times New Roman"/>
          <w:sz w:val="24"/>
          <w:szCs w:val="24"/>
        </w:rPr>
        <w:t xml:space="preserve">, </w:t>
      </w:r>
      <w:r w:rsidR="00E47A60">
        <w:rPr>
          <w:rFonts w:ascii="Times New Roman" w:hAnsi="Times New Roman" w:cs="Times New Roman"/>
          <w:sz w:val="24"/>
          <w:szCs w:val="24"/>
        </w:rPr>
        <w:t xml:space="preserve">For the EPP, reliability involves at least two actions. </w:t>
      </w:r>
      <w:r w:rsidR="00873061">
        <w:rPr>
          <w:rFonts w:ascii="Times New Roman" w:hAnsi="Times New Roman" w:cs="Times New Roman"/>
          <w:sz w:val="24"/>
          <w:szCs w:val="24"/>
        </w:rPr>
        <w:t xml:space="preserve">First, </w:t>
      </w:r>
      <w:r w:rsidR="00E47A60">
        <w:rPr>
          <w:rFonts w:ascii="Times New Roman" w:hAnsi="Times New Roman" w:cs="Times New Roman"/>
          <w:sz w:val="24"/>
          <w:szCs w:val="24"/>
        </w:rPr>
        <w:t>EPP created assessments</w:t>
      </w:r>
      <w:r w:rsidR="00E47A60" w:rsidRPr="00E47A60">
        <w:rPr>
          <w:rFonts w:ascii="Times New Roman" w:hAnsi="Times New Roman" w:cs="Times New Roman"/>
          <w:sz w:val="24"/>
          <w:szCs w:val="24"/>
        </w:rPr>
        <w:t xml:space="preserve"> can be made more reliable and</w:t>
      </w:r>
      <w:r w:rsidR="00E47A60">
        <w:rPr>
          <w:rFonts w:ascii="Times New Roman" w:hAnsi="Times New Roman" w:cs="Times New Roman"/>
          <w:sz w:val="24"/>
          <w:szCs w:val="24"/>
        </w:rPr>
        <w:t xml:space="preserve"> have less measurement error by making sure that they have been </w:t>
      </w:r>
      <w:r w:rsidR="00E47A60" w:rsidRPr="00E47A60">
        <w:rPr>
          <w:rFonts w:ascii="Times New Roman" w:hAnsi="Times New Roman" w:cs="Times New Roman"/>
          <w:sz w:val="24"/>
          <w:szCs w:val="24"/>
        </w:rPr>
        <w:t xml:space="preserve">written </w:t>
      </w:r>
      <w:r w:rsidR="00E47A60">
        <w:rPr>
          <w:rFonts w:ascii="Times New Roman" w:hAnsi="Times New Roman" w:cs="Times New Roman"/>
          <w:sz w:val="24"/>
          <w:szCs w:val="24"/>
        </w:rPr>
        <w:t xml:space="preserve">with clear directions so candidates </w:t>
      </w:r>
      <w:r w:rsidR="00E47A60" w:rsidRPr="00E47A60">
        <w:rPr>
          <w:rFonts w:ascii="Times New Roman" w:hAnsi="Times New Roman" w:cs="Times New Roman"/>
          <w:sz w:val="24"/>
          <w:szCs w:val="24"/>
        </w:rPr>
        <w:t>k</w:t>
      </w:r>
      <w:r w:rsidR="00E47A60">
        <w:rPr>
          <w:rFonts w:ascii="Times New Roman" w:hAnsi="Times New Roman" w:cs="Times New Roman"/>
          <w:sz w:val="24"/>
          <w:szCs w:val="24"/>
        </w:rPr>
        <w:t xml:space="preserve">now exactly what is expected of them from the assessment.  </w:t>
      </w:r>
      <w:r w:rsidR="00873061">
        <w:rPr>
          <w:rFonts w:ascii="Times New Roman" w:hAnsi="Times New Roman" w:cs="Times New Roman"/>
          <w:sz w:val="24"/>
          <w:szCs w:val="24"/>
        </w:rPr>
        <w:t xml:space="preserve">Second, Faculty </w:t>
      </w:r>
      <w:r w:rsidR="00E47A60">
        <w:rPr>
          <w:rFonts w:ascii="Times New Roman" w:hAnsi="Times New Roman" w:cs="Times New Roman"/>
          <w:sz w:val="24"/>
          <w:szCs w:val="24"/>
        </w:rPr>
        <w:t xml:space="preserve">must be sure to </w:t>
      </w:r>
      <w:r w:rsidR="00E47A60" w:rsidRPr="00E47A60">
        <w:rPr>
          <w:rFonts w:ascii="Times New Roman" w:hAnsi="Times New Roman" w:cs="Times New Roman"/>
          <w:sz w:val="24"/>
          <w:szCs w:val="24"/>
        </w:rPr>
        <w:t>have appropriate que</w:t>
      </w:r>
      <w:r w:rsidR="00E47A60">
        <w:rPr>
          <w:rFonts w:ascii="Times New Roman" w:hAnsi="Times New Roman" w:cs="Times New Roman"/>
          <w:sz w:val="24"/>
          <w:szCs w:val="24"/>
        </w:rPr>
        <w:t xml:space="preserve">stions that clearly measure the </w:t>
      </w:r>
      <w:r w:rsidR="00E47A60" w:rsidRPr="00E47A60">
        <w:rPr>
          <w:rFonts w:ascii="Times New Roman" w:hAnsi="Times New Roman" w:cs="Times New Roman"/>
          <w:sz w:val="24"/>
          <w:szCs w:val="24"/>
        </w:rPr>
        <w:t>content taught and are not confusing students with the wordi</w:t>
      </w:r>
      <w:r w:rsidR="00E47A60">
        <w:rPr>
          <w:rFonts w:ascii="Times New Roman" w:hAnsi="Times New Roman" w:cs="Times New Roman"/>
          <w:sz w:val="24"/>
          <w:szCs w:val="24"/>
        </w:rPr>
        <w:t xml:space="preserve">ng or biased to any subgroup of students. </w:t>
      </w:r>
      <w:r w:rsidR="00E47A60" w:rsidRPr="00E47A60">
        <w:rPr>
          <w:rFonts w:ascii="Times New Roman" w:hAnsi="Times New Roman" w:cs="Times New Roman"/>
          <w:sz w:val="24"/>
          <w:szCs w:val="24"/>
        </w:rPr>
        <w:t xml:space="preserve"> </w:t>
      </w:r>
      <w:r w:rsidR="00E47A60">
        <w:rPr>
          <w:rFonts w:ascii="Times New Roman" w:hAnsi="Times New Roman" w:cs="Times New Roman"/>
          <w:sz w:val="24"/>
          <w:szCs w:val="24"/>
        </w:rPr>
        <w:t xml:space="preserve">It would also be desirable that faculty </w:t>
      </w:r>
      <w:r w:rsidR="00E47A60" w:rsidRPr="00E47A60">
        <w:rPr>
          <w:rFonts w:ascii="Times New Roman" w:hAnsi="Times New Roman" w:cs="Times New Roman"/>
          <w:sz w:val="24"/>
          <w:szCs w:val="24"/>
        </w:rPr>
        <w:t>have gathered appropriate feedback f</w:t>
      </w:r>
      <w:r w:rsidR="00E47A60">
        <w:rPr>
          <w:rFonts w:ascii="Times New Roman" w:hAnsi="Times New Roman" w:cs="Times New Roman"/>
          <w:sz w:val="24"/>
          <w:szCs w:val="24"/>
        </w:rPr>
        <w:t>rom colleagues and/or candidates who have read through the</w:t>
      </w:r>
      <w:r w:rsidR="00E47A60" w:rsidRPr="00E47A60">
        <w:rPr>
          <w:rFonts w:ascii="Times New Roman" w:hAnsi="Times New Roman" w:cs="Times New Roman"/>
          <w:sz w:val="24"/>
          <w:szCs w:val="24"/>
        </w:rPr>
        <w:t xml:space="preserve"> assessment or taken the asses</w:t>
      </w:r>
      <w:r w:rsidR="00E47A60">
        <w:rPr>
          <w:rFonts w:ascii="Times New Roman" w:hAnsi="Times New Roman" w:cs="Times New Roman"/>
          <w:sz w:val="24"/>
          <w:szCs w:val="24"/>
        </w:rPr>
        <w:t xml:space="preserve">sment to provide feedback to the assessment’s </w:t>
      </w:r>
      <w:r w:rsidR="00E47A60" w:rsidRPr="00E47A60">
        <w:rPr>
          <w:rFonts w:ascii="Times New Roman" w:hAnsi="Times New Roman" w:cs="Times New Roman"/>
          <w:sz w:val="24"/>
          <w:szCs w:val="24"/>
        </w:rPr>
        <w:t>clarity</w:t>
      </w:r>
      <w:r w:rsidR="00E47A60">
        <w:rPr>
          <w:rFonts w:ascii="Times New Roman" w:hAnsi="Times New Roman" w:cs="Times New Roman"/>
          <w:sz w:val="24"/>
          <w:szCs w:val="24"/>
        </w:rPr>
        <w:t>.</w:t>
      </w:r>
    </w:p>
    <w:p w:rsidR="00E47A60" w:rsidRDefault="00E47A60" w:rsidP="00E47A60">
      <w:pPr>
        <w:rPr>
          <w:rFonts w:ascii="Times New Roman" w:hAnsi="Times New Roman" w:cs="Times New Roman"/>
          <w:sz w:val="24"/>
          <w:szCs w:val="24"/>
        </w:rPr>
      </w:pPr>
    </w:p>
    <w:p w:rsidR="00E47A60" w:rsidRDefault="000058AD" w:rsidP="000058AD">
      <w:pPr>
        <w:rPr>
          <w:rFonts w:ascii="Times New Roman" w:hAnsi="Times New Roman" w:cs="Times New Roman"/>
          <w:sz w:val="24"/>
          <w:szCs w:val="24"/>
        </w:rPr>
      </w:pPr>
      <w:r>
        <w:rPr>
          <w:rFonts w:ascii="Times New Roman" w:hAnsi="Times New Roman" w:cs="Times New Roman"/>
          <w:sz w:val="24"/>
          <w:szCs w:val="24"/>
        </w:rPr>
        <w:t>I</w:t>
      </w:r>
      <w:r w:rsidR="00DD4366">
        <w:rPr>
          <w:rFonts w:ascii="Times New Roman" w:hAnsi="Times New Roman" w:cs="Times New Roman"/>
          <w:sz w:val="24"/>
          <w:szCs w:val="24"/>
        </w:rPr>
        <w:t>nter-rater Reliability (I</w:t>
      </w:r>
      <w:r>
        <w:rPr>
          <w:rFonts w:ascii="Times New Roman" w:hAnsi="Times New Roman" w:cs="Times New Roman"/>
          <w:sz w:val="24"/>
          <w:szCs w:val="24"/>
        </w:rPr>
        <w:t>RR</w:t>
      </w:r>
      <w:r w:rsidR="00DD4366">
        <w:rPr>
          <w:rFonts w:ascii="Times New Roman" w:hAnsi="Times New Roman" w:cs="Times New Roman"/>
          <w:sz w:val="24"/>
          <w:szCs w:val="24"/>
        </w:rPr>
        <w:t>)</w:t>
      </w:r>
      <w:r>
        <w:rPr>
          <w:rFonts w:ascii="Times New Roman" w:hAnsi="Times New Roman" w:cs="Times New Roman"/>
          <w:sz w:val="24"/>
          <w:szCs w:val="24"/>
        </w:rPr>
        <w:t xml:space="preserve"> is</w:t>
      </w:r>
      <w:r w:rsidRPr="000058AD">
        <w:rPr>
          <w:rFonts w:ascii="Times New Roman" w:hAnsi="Times New Roman" w:cs="Times New Roman"/>
          <w:sz w:val="24"/>
          <w:szCs w:val="24"/>
        </w:rPr>
        <w:t xml:space="preserve"> the degree to which two or more raters obtain the s</w:t>
      </w:r>
      <w:r>
        <w:rPr>
          <w:rFonts w:ascii="Times New Roman" w:hAnsi="Times New Roman" w:cs="Times New Roman"/>
          <w:sz w:val="24"/>
          <w:szCs w:val="24"/>
        </w:rPr>
        <w:t xml:space="preserve">ame results when using the same </w:t>
      </w:r>
      <w:r w:rsidRPr="000058AD">
        <w:rPr>
          <w:rFonts w:ascii="Times New Roman" w:hAnsi="Times New Roman" w:cs="Times New Roman"/>
          <w:sz w:val="24"/>
          <w:szCs w:val="24"/>
        </w:rPr>
        <w:t>instrument/criteria for evaluation. This is the primary me</w:t>
      </w:r>
      <w:r>
        <w:rPr>
          <w:rFonts w:ascii="Times New Roman" w:hAnsi="Times New Roman" w:cs="Times New Roman"/>
          <w:sz w:val="24"/>
          <w:szCs w:val="24"/>
        </w:rPr>
        <w:t>thod the EPP</w:t>
      </w:r>
      <w:r w:rsidRPr="000058AD">
        <w:rPr>
          <w:rFonts w:ascii="Times New Roman" w:hAnsi="Times New Roman" w:cs="Times New Roman"/>
          <w:sz w:val="24"/>
          <w:szCs w:val="24"/>
        </w:rPr>
        <w:t xml:space="preserve"> will us</w:t>
      </w:r>
      <w:r>
        <w:rPr>
          <w:rFonts w:ascii="Times New Roman" w:hAnsi="Times New Roman" w:cs="Times New Roman"/>
          <w:sz w:val="24"/>
          <w:szCs w:val="24"/>
        </w:rPr>
        <w:t xml:space="preserve">e to measure the reliability of </w:t>
      </w:r>
      <w:r w:rsidRPr="000058AD">
        <w:rPr>
          <w:rFonts w:ascii="Times New Roman" w:hAnsi="Times New Roman" w:cs="Times New Roman"/>
          <w:sz w:val="24"/>
          <w:szCs w:val="24"/>
        </w:rPr>
        <w:t>its assessments as it addresses the consistency of the assessment implementation methods.</w:t>
      </w:r>
      <w:r>
        <w:rPr>
          <w:rFonts w:ascii="Times New Roman" w:hAnsi="Times New Roman" w:cs="Times New Roman"/>
          <w:sz w:val="24"/>
          <w:szCs w:val="24"/>
        </w:rPr>
        <w:t xml:space="preserve"> To achieve IRR, the EPP has selected to use </w:t>
      </w:r>
      <w:r w:rsidRPr="000058AD">
        <w:rPr>
          <w:rFonts w:ascii="Times New Roman" w:hAnsi="Times New Roman" w:cs="Times New Roman"/>
          <w:sz w:val="24"/>
          <w:szCs w:val="24"/>
        </w:rPr>
        <w:t>to use inter</w:t>
      </w:r>
      <w:r>
        <w:rPr>
          <w:rFonts w:ascii="Times New Roman" w:hAnsi="Times New Roman" w:cs="Times New Roman"/>
          <w:sz w:val="24"/>
          <w:szCs w:val="24"/>
        </w:rPr>
        <w:t>-</w:t>
      </w:r>
      <w:r w:rsidRPr="000058AD">
        <w:rPr>
          <w:rFonts w:ascii="Times New Roman" w:hAnsi="Times New Roman" w:cs="Times New Roman"/>
          <w:sz w:val="24"/>
          <w:szCs w:val="24"/>
        </w:rPr>
        <w:t>rater agreement</w:t>
      </w:r>
      <w:r>
        <w:rPr>
          <w:rFonts w:ascii="Times New Roman" w:hAnsi="Times New Roman" w:cs="Times New Roman"/>
          <w:sz w:val="24"/>
          <w:szCs w:val="24"/>
        </w:rPr>
        <w:t xml:space="preserve"> (IAA)</w:t>
      </w:r>
      <w:r w:rsidRPr="000058AD">
        <w:rPr>
          <w:rFonts w:ascii="Times New Roman" w:hAnsi="Times New Roman" w:cs="Times New Roman"/>
          <w:sz w:val="24"/>
          <w:szCs w:val="24"/>
        </w:rPr>
        <w:t xml:space="preserve">, which </w:t>
      </w:r>
      <w:r>
        <w:rPr>
          <w:rFonts w:ascii="Times New Roman" w:hAnsi="Times New Roman" w:cs="Times New Roman"/>
          <w:sz w:val="24"/>
          <w:szCs w:val="24"/>
        </w:rPr>
        <w:t>is expressed as a percentage of exact agreement among reviewers</w:t>
      </w:r>
      <w:r w:rsidRPr="000058AD">
        <w:rPr>
          <w:rFonts w:ascii="Times New Roman" w:hAnsi="Times New Roman" w:cs="Times New Roman"/>
          <w:sz w:val="24"/>
          <w:szCs w:val="24"/>
        </w:rPr>
        <w:t>, and the goal is to r</w:t>
      </w:r>
      <w:r>
        <w:rPr>
          <w:rFonts w:ascii="Times New Roman" w:hAnsi="Times New Roman" w:cs="Times New Roman"/>
          <w:sz w:val="24"/>
          <w:szCs w:val="24"/>
        </w:rPr>
        <w:t xml:space="preserve">each at least the 70% agreement </w:t>
      </w:r>
      <w:r w:rsidRPr="000058AD">
        <w:rPr>
          <w:rFonts w:ascii="Times New Roman" w:hAnsi="Times New Roman" w:cs="Times New Roman"/>
          <w:sz w:val="24"/>
          <w:szCs w:val="24"/>
        </w:rPr>
        <w:t>threshold (</w:t>
      </w:r>
      <w:proofErr w:type="spellStart"/>
      <w:r w:rsidRPr="000058AD">
        <w:rPr>
          <w:rFonts w:ascii="Times New Roman" w:hAnsi="Times New Roman" w:cs="Times New Roman"/>
          <w:sz w:val="24"/>
          <w:szCs w:val="24"/>
        </w:rPr>
        <w:t>Jonsson</w:t>
      </w:r>
      <w:proofErr w:type="spellEnd"/>
      <w:r w:rsidRPr="000058AD">
        <w:rPr>
          <w:rFonts w:ascii="Times New Roman" w:hAnsi="Times New Roman" w:cs="Times New Roman"/>
          <w:sz w:val="24"/>
          <w:szCs w:val="24"/>
        </w:rPr>
        <w:t xml:space="preserve"> &amp; </w:t>
      </w:r>
      <w:proofErr w:type="spellStart"/>
      <w:r w:rsidRPr="000058AD">
        <w:rPr>
          <w:rFonts w:ascii="Times New Roman" w:hAnsi="Times New Roman" w:cs="Times New Roman"/>
          <w:sz w:val="24"/>
          <w:szCs w:val="24"/>
        </w:rPr>
        <w:t>Svingby</w:t>
      </w:r>
      <w:proofErr w:type="spellEnd"/>
      <w:r w:rsidRPr="000058AD">
        <w:rPr>
          <w:rFonts w:ascii="Times New Roman" w:hAnsi="Times New Roman" w:cs="Times New Roman"/>
          <w:sz w:val="24"/>
          <w:szCs w:val="24"/>
        </w:rPr>
        <w:t>, 2007).</w:t>
      </w:r>
      <w:r w:rsidRPr="000058AD">
        <w:t xml:space="preserve"> </w:t>
      </w:r>
      <w:r w:rsidR="00412AC4">
        <w:rPr>
          <w:rFonts w:ascii="Times New Roman" w:hAnsi="Times New Roman" w:cs="Times New Roman"/>
          <w:sz w:val="24"/>
          <w:szCs w:val="24"/>
        </w:rPr>
        <w:t>IAA</w:t>
      </w:r>
      <w:r w:rsidRPr="000058AD">
        <w:rPr>
          <w:rFonts w:ascii="Times New Roman" w:hAnsi="Times New Roman" w:cs="Times New Roman"/>
          <w:sz w:val="24"/>
          <w:szCs w:val="24"/>
        </w:rPr>
        <w:t xml:space="preserve"> is a simple calcula</w:t>
      </w:r>
      <w:r w:rsidR="00412AC4">
        <w:rPr>
          <w:rFonts w:ascii="Times New Roman" w:hAnsi="Times New Roman" w:cs="Times New Roman"/>
          <w:sz w:val="24"/>
          <w:szCs w:val="24"/>
        </w:rPr>
        <w:t xml:space="preserve">tion determined by counting the </w:t>
      </w:r>
      <w:r w:rsidRPr="000058AD">
        <w:rPr>
          <w:rFonts w:ascii="Times New Roman" w:hAnsi="Times New Roman" w:cs="Times New Roman"/>
          <w:sz w:val="24"/>
          <w:szCs w:val="24"/>
        </w:rPr>
        <w:t xml:space="preserve">number of exact agreements on rating variables on any part </w:t>
      </w:r>
      <w:r w:rsidR="00412AC4">
        <w:rPr>
          <w:rFonts w:ascii="Times New Roman" w:hAnsi="Times New Roman" w:cs="Times New Roman"/>
          <w:sz w:val="24"/>
          <w:szCs w:val="24"/>
        </w:rPr>
        <w:t xml:space="preserve">or whole of an assessment </w:t>
      </w:r>
      <w:r w:rsidRPr="000058AD">
        <w:rPr>
          <w:rFonts w:ascii="Times New Roman" w:hAnsi="Times New Roman" w:cs="Times New Roman"/>
          <w:sz w:val="24"/>
          <w:szCs w:val="24"/>
        </w:rPr>
        <w:t xml:space="preserve">and then dividing this by </w:t>
      </w:r>
      <w:r w:rsidR="00412AC4">
        <w:rPr>
          <w:rFonts w:ascii="Times New Roman" w:hAnsi="Times New Roman" w:cs="Times New Roman"/>
          <w:sz w:val="24"/>
          <w:szCs w:val="24"/>
        </w:rPr>
        <w:t>the number of total variables (Among 10 ratings, reviewer 1 and reviewer</w:t>
      </w:r>
      <w:r w:rsidRPr="000058AD">
        <w:rPr>
          <w:rFonts w:ascii="Times New Roman" w:hAnsi="Times New Roman" w:cs="Times New Roman"/>
          <w:sz w:val="24"/>
          <w:szCs w:val="24"/>
        </w:rPr>
        <w:t xml:space="preserve"> 2 agreed on 8 of the</w:t>
      </w:r>
      <w:r w:rsidR="00412AC4">
        <w:rPr>
          <w:rFonts w:ascii="Times New Roman" w:hAnsi="Times New Roman" w:cs="Times New Roman"/>
          <w:sz w:val="24"/>
          <w:szCs w:val="24"/>
        </w:rPr>
        <w:t xml:space="preserve">m, this would then give you 80% </w:t>
      </w:r>
      <w:r w:rsidRPr="000058AD">
        <w:rPr>
          <w:rFonts w:ascii="Times New Roman" w:hAnsi="Times New Roman" w:cs="Times New Roman"/>
          <w:sz w:val="24"/>
          <w:szCs w:val="24"/>
        </w:rPr>
        <w:t>a</w:t>
      </w:r>
      <w:r w:rsidR="00412AC4">
        <w:rPr>
          <w:rFonts w:ascii="Times New Roman" w:hAnsi="Times New Roman" w:cs="Times New Roman"/>
          <w:sz w:val="24"/>
          <w:szCs w:val="24"/>
        </w:rPr>
        <w:t>greement among the two reviewers</w:t>
      </w:r>
      <w:r w:rsidRPr="000058AD">
        <w:rPr>
          <w:rFonts w:ascii="Times New Roman" w:hAnsi="Times New Roman" w:cs="Times New Roman"/>
          <w:sz w:val="24"/>
          <w:szCs w:val="24"/>
        </w:rPr>
        <w:t>).</w:t>
      </w:r>
    </w:p>
    <w:p w:rsidR="00DD4366" w:rsidRDefault="00DD4366" w:rsidP="000058AD">
      <w:pPr>
        <w:rPr>
          <w:rFonts w:ascii="Times New Roman" w:hAnsi="Times New Roman" w:cs="Times New Roman"/>
          <w:sz w:val="24"/>
          <w:szCs w:val="24"/>
        </w:rPr>
      </w:pPr>
    </w:p>
    <w:p w:rsidR="00412AC4" w:rsidRPr="00412AC4" w:rsidRDefault="00412AC4" w:rsidP="00412AC4">
      <w:pPr>
        <w:rPr>
          <w:rFonts w:ascii="Times New Roman" w:hAnsi="Times New Roman" w:cs="Times New Roman"/>
          <w:sz w:val="24"/>
          <w:szCs w:val="24"/>
        </w:rPr>
      </w:pPr>
      <w:r w:rsidRPr="00412AC4">
        <w:rPr>
          <w:rFonts w:ascii="Times New Roman" w:hAnsi="Times New Roman" w:cs="Times New Roman"/>
          <w:sz w:val="24"/>
          <w:szCs w:val="24"/>
        </w:rPr>
        <w:t>The following is the basic set of guidelines for IRR training session</w:t>
      </w:r>
      <w:r>
        <w:rPr>
          <w:rFonts w:ascii="Times New Roman" w:hAnsi="Times New Roman" w:cs="Times New Roman"/>
          <w:sz w:val="24"/>
          <w:szCs w:val="24"/>
        </w:rPr>
        <w:t xml:space="preserve">s used to promote objective and </w:t>
      </w:r>
      <w:r w:rsidRPr="00412AC4">
        <w:rPr>
          <w:rFonts w:ascii="Times New Roman" w:hAnsi="Times New Roman" w:cs="Times New Roman"/>
          <w:sz w:val="24"/>
          <w:szCs w:val="24"/>
        </w:rPr>
        <w:t>consistent evaluation of candidate performance.</w:t>
      </w:r>
      <w:r>
        <w:rPr>
          <w:rFonts w:ascii="Times New Roman" w:hAnsi="Times New Roman" w:cs="Times New Roman"/>
          <w:sz w:val="24"/>
          <w:szCs w:val="24"/>
        </w:rPr>
        <w:t xml:space="preserve"> (These steps are taken from:  </w:t>
      </w:r>
      <w:r w:rsidRPr="00412AC4">
        <w:rPr>
          <w:rFonts w:ascii="Times New Roman" w:hAnsi="Times New Roman" w:cs="Times New Roman"/>
          <w:sz w:val="24"/>
          <w:szCs w:val="24"/>
        </w:rPr>
        <w:t xml:space="preserve">Graham, M., </w:t>
      </w:r>
      <w:proofErr w:type="spellStart"/>
      <w:r w:rsidRPr="00412AC4">
        <w:rPr>
          <w:rFonts w:ascii="Times New Roman" w:hAnsi="Times New Roman" w:cs="Times New Roman"/>
          <w:sz w:val="24"/>
          <w:szCs w:val="24"/>
        </w:rPr>
        <w:t>Milanowski</w:t>
      </w:r>
      <w:proofErr w:type="spellEnd"/>
      <w:r w:rsidRPr="00412AC4">
        <w:rPr>
          <w:rFonts w:ascii="Times New Roman" w:hAnsi="Times New Roman" w:cs="Times New Roman"/>
          <w:sz w:val="24"/>
          <w:szCs w:val="24"/>
        </w:rPr>
        <w:t>, A., &amp; Miller, J. (2012). Measuring and promoting inter-rater agreement of teacher and principal performance ratings. Retrieved from http://www.tifcommunity.org</w:t>
      </w:r>
      <w:r>
        <w:rPr>
          <w:rFonts w:ascii="Times New Roman" w:hAnsi="Times New Roman" w:cs="Times New Roman"/>
          <w:sz w:val="24"/>
          <w:szCs w:val="24"/>
        </w:rPr>
        <w:t>)</w:t>
      </w:r>
    </w:p>
    <w:p w:rsidR="00412AC4" w:rsidRDefault="00412AC4" w:rsidP="00412AC4">
      <w:pPr>
        <w:rPr>
          <w:rFonts w:ascii="Times New Roman" w:hAnsi="Times New Roman" w:cs="Times New Roman"/>
          <w:sz w:val="24"/>
          <w:szCs w:val="24"/>
        </w:rPr>
      </w:pPr>
    </w:p>
    <w:p w:rsidR="00412AC4" w:rsidRDefault="00412AC4" w:rsidP="00412AC4">
      <w:pPr>
        <w:rPr>
          <w:rFonts w:ascii="Times New Roman" w:hAnsi="Times New Roman" w:cs="Times New Roman"/>
          <w:sz w:val="24"/>
          <w:szCs w:val="24"/>
        </w:rPr>
      </w:pPr>
      <w:r w:rsidRPr="00412AC4">
        <w:rPr>
          <w:rFonts w:ascii="Times New Roman" w:hAnsi="Times New Roman" w:cs="Times New Roman"/>
          <w:sz w:val="24"/>
          <w:szCs w:val="24"/>
        </w:rPr>
        <w:t>1. Provide a proces</w:t>
      </w:r>
      <w:r>
        <w:rPr>
          <w:rFonts w:ascii="Times New Roman" w:hAnsi="Times New Roman" w:cs="Times New Roman"/>
          <w:sz w:val="24"/>
          <w:szCs w:val="24"/>
        </w:rPr>
        <w:t>s overview to give the reviewers</w:t>
      </w:r>
      <w:r w:rsidRPr="00412AC4">
        <w:rPr>
          <w:rFonts w:ascii="Times New Roman" w:hAnsi="Times New Roman" w:cs="Times New Roman"/>
          <w:sz w:val="24"/>
          <w:szCs w:val="24"/>
        </w:rPr>
        <w:t xml:space="preserve"> the big picture. </w:t>
      </w:r>
    </w:p>
    <w:p w:rsidR="00412AC4" w:rsidRPr="00412AC4" w:rsidRDefault="00412AC4" w:rsidP="00412AC4">
      <w:pPr>
        <w:rPr>
          <w:rFonts w:ascii="Times New Roman" w:hAnsi="Times New Roman" w:cs="Times New Roman"/>
          <w:sz w:val="24"/>
          <w:szCs w:val="24"/>
        </w:rPr>
      </w:pPr>
      <w:r>
        <w:rPr>
          <w:rFonts w:ascii="Times New Roman" w:hAnsi="Times New Roman" w:cs="Times New Roman"/>
          <w:sz w:val="24"/>
          <w:szCs w:val="24"/>
        </w:rPr>
        <w:t xml:space="preserve">Participants are introduced to </w:t>
      </w:r>
      <w:r w:rsidRPr="00412AC4">
        <w:rPr>
          <w:rFonts w:ascii="Times New Roman" w:hAnsi="Times New Roman" w:cs="Times New Roman"/>
          <w:sz w:val="24"/>
          <w:szCs w:val="24"/>
        </w:rPr>
        <w:t xml:space="preserve">reliability, what it means to have a reliable measure and </w:t>
      </w:r>
      <w:r>
        <w:rPr>
          <w:rFonts w:ascii="Times New Roman" w:hAnsi="Times New Roman" w:cs="Times New Roman"/>
          <w:sz w:val="24"/>
          <w:szCs w:val="24"/>
        </w:rPr>
        <w:t xml:space="preserve">why it is important. Associated </w:t>
      </w:r>
      <w:r w:rsidRPr="00412AC4">
        <w:rPr>
          <w:rFonts w:ascii="Times New Roman" w:hAnsi="Times New Roman" w:cs="Times New Roman"/>
          <w:sz w:val="24"/>
          <w:szCs w:val="24"/>
        </w:rPr>
        <w:t>assignments are reviewed. In addition, participants discuss how r</w:t>
      </w:r>
      <w:r>
        <w:rPr>
          <w:rFonts w:ascii="Times New Roman" w:hAnsi="Times New Roman" w:cs="Times New Roman"/>
          <w:sz w:val="24"/>
          <w:szCs w:val="24"/>
        </w:rPr>
        <w:t xml:space="preserve">ubric results are used to </w:t>
      </w:r>
      <w:r w:rsidRPr="00412AC4">
        <w:rPr>
          <w:rFonts w:ascii="Times New Roman" w:hAnsi="Times New Roman" w:cs="Times New Roman"/>
          <w:sz w:val="24"/>
          <w:szCs w:val="24"/>
        </w:rPr>
        <w:t>provide feedback to students and instructors. For students, these</w:t>
      </w:r>
      <w:r>
        <w:rPr>
          <w:rFonts w:ascii="Times New Roman" w:hAnsi="Times New Roman" w:cs="Times New Roman"/>
          <w:sz w:val="24"/>
          <w:szCs w:val="24"/>
        </w:rPr>
        <w:t xml:space="preserve"> ratings serve as indicators of </w:t>
      </w:r>
      <w:r w:rsidRPr="00412AC4">
        <w:rPr>
          <w:rFonts w:ascii="Times New Roman" w:hAnsi="Times New Roman" w:cs="Times New Roman"/>
          <w:sz w:val="24"/>
          <w:szCs w:val="24"/>
        </w:rPr>
        <w:t>performance. For instructors, the results from the training s</w:t>
      </w:r>
      <w:r>
        <w:rPr>
          <w:rFonts w:ascii="Times New Roman" w:hAnsi="Times New Roman" w:cs="Times New Roman"/>
          <w:sz w:val="24"/>
          <w:szCs w:val="24"/>
        </w:rPr>
        <w:t xml:space="preserve">essions are used as part of the </w:t>
      </w:r>
      <w:r w:rsidRPr="00412AC4">
        <w:rPr>
          <w:rFonts w:ascii="Times New Roman" w:hAnsi="Times New Roman" w:cs="Times New Roman"/>
          <w:sz w:val="24"/>
          <w:szCs w:val="24"/>
        </w:rPr>
        <w:t>continuous improvement process to actively track the reliability of their ratings.</w:t>
      </w:r>
    </w:p>
    <w:p w:rsidR="00412AC4" w:rsidRPr="00412AC4" w:rsidRDefault="00412AC4" w:rsidP="00412AC4">
      <w:pPr>
        <w:rPr>
          <w:rFonts w:ascii="Times New Roman" w:hAnsi="Times New Roman" w:cs="Times New Roman"/>
          <w:sz w:val="24"/>
          <w:szCs w:val="24"/>
        </w:rPr>
      </w:pPr>
      <w:r w:rsidRPr="00412AC4">
        <w:rPr>
          <w:rFonts w:ascii="Times New Roman" w:hAnsi="Times New Roman" w:cs="Times New Roman"/>
          <w:sz w:val="24"/>
          <w:szCs w:val="24"/>
        </w:rPr>
        <w:t xml:space="preserve">2. Explain the rating dimensions (standards of performance &amp; rubrics). </w:t>
      </w:r>
      <w:r>
        <w:rPr>
          <w:rFonts w:ascii="Times New Roman" w:hAnsi="Times New Roman" w:cs="Times New Roman"/>
          <w:sz w:val="24"/>
          <w:szCs w:val="24"/>
        </w:rPr>
        <w:t xml:space="preserve">This is to help the raters </w:t>
      </w:r>
      <w:r w:rsidRPr="00412AC4">
        <w:rPr>
          <w:rFonts w:ascii="Times New Roman" w:hAnsi="Times New Roman" w:cs="Times New Roman"/>
          <w:sz w:val="24"/>
          <w:szCs w:val="24"/>
        </w:rPr>
        <w:t>become (more) familiar with the rubrics. Each dimension on the r</w:t>
      </w:r>
      <w:r>
        <w:rPr>
          <w:rFonts w:ascii="Times New Roman" w:hAnsi="Times New Roman" w:cs="Times New Roman"/>
          <w:sz w:val="24"/>
          <w:szCs w:val="24"/>
        </w:rPr>
        <w:t xml:space="preserve">ubric is defined, and what each </w:t>
      </w:r>
      <w:r w:rsidRPr="00412AC4">
        <w:rPr>
          <w:rFonts w:ascii="Times New Roman" w:hAnsi="Times New Roman" w:cs="Times New Roman"/>
          <w:sz w:val="24"/>
          <w:szCs w:val="24"/>
        </w:rPr>
        <w:lastRenderedPageBreak/>
        <w:t>rating represents and means is explained. Participants discuss how</w:t>
      </w:r>
      <w:r>
        <w:rPr>
          <w:rFonts w:ascii="Times New Roman" w:hAnsi="Times New Roman" w:cs="Times New Roman"/>
          <w:sz w:val="24"/>
          <w:szCs w:val="24"/>
        </w:rPr>
        <w:t xml:space="preserve"> they interpret the ratings; it </w:t>
      </w:r>
      <w:r w:rsidRPr="00412AC4">
        <w:rPr>
          <w:rFonts w:ascii="Times New Roman" w:hAnsi="Times New Roman" w:cs="Times New Roman"/>
          <w:sz w:val="24"/>
          <w:szCs w:val="24"/>
        </w:rPr>
        <w:t>is emphasized that if each participant has distinct underst</w:t>
      </w:r>
      <w:r>
        <w:rPr>
          <w:rFonts w:ascii="Times New Roman" w:hAnsi="Times New Roman" w:cs="Times New Roman"/>
          <w:sz w:val="24"/>
          <w:szCs w:val="24"/>
        </w:rPr>
        <w:t xml:space="preserve">andings and interpretations, it </w:t>
      </w:r>
      <w:r w:rsidRPr="00412AC4">
        <w:rPr>
          <w:rFonts w:ascii="Times New Roman" w:hAnsi="Times New Roman" w:cs="Times New Roman"/>
          <w:sz w:val="24"/>
          <w:szCs w:val="24"/>
        </w:rPr>
        <w:t>becomes difficult to evaluate how consistent ratings are between participants.</w:t>
      </w:r>
    </w:p>
    <w:p w:rsidR="00412AC4" w:rsidRPr="00412AC4" w:rsidRDefault="00412AC4" w:rsidP="00412AC4">
      <w:pPr>
        <w:rPr>
          <w:rFonts w:ascii="Times New Roman" w:hAnsi="Times New Roman" w:cs="Times New Roman"/>
          <w:sz w:val="24"/>
          <w:szCs w:val="24"/>
        </w:rPr>
      </w:pPr>
      <w:r w:rsidRPr="00412AC4">
        <w:rPr>
          <w:rFonts w:ascii="Times New Roman" w:hAnsi="Times New Roman" w:cs="Times New Roman"/>
          <w:sz w:val="24"/>
          <w:szCs w:val="24"/>
        </w:rPr>
        <w:t xml:space="preserve">3. Help raters put aside biases. Common biases are identified, and </w:t>
      </w:r>
      <w:r>
        <w:rPr>
          <w:rFonts w:ascii="Times New Roman" w:hAnsi="Times New Roman" w:cs="Times New Roman"/>
          <w:sz w:val="24"/>
          <w:szCs w:val="24"/>
        </w:rPr>
        <w:t xml:space="preserve">strategies to support objective </w:t>
      </w:r>
      <w:r w:rsidRPr="00412AC4">
        <w:rPr>
          <w:rFonts w:ascii="Times New Roman" w:hAnsi="Times New Roman" w:cs="Times New Roman"/>
          <w:sz w:val="24"/>
          <w:szCs w:val="24"/>
        </w:rPr>
        <w:t>ratings are discussed.</w:t>
      </w:r>
    </w:p>
    <w:p w:rsidR="00412AC4" w:rsidRPr="00412AC4" w:rsidRDefault="00412AC4" w:rsidP="00412AC4">
      <w:pPr>
        <w:rPr>
          <w:rFonts w:ascii="Times New Roman" w:hAnsi="Times New Roman" w:cs="Times New Roman"/>
          <w:sz w:val="24"/>
          <w:szCs w:val="24"/>
        </w:rPr>
      </w:pPr>
      <w:r w:rsidRPr="00412AC4">
        <w:rPr>
          <w:rFonts w:ascii="Times New Roman" w:hAnsi="Times New Roman" w:cs="Times New Roman"/>
          <w:sz w:val="24"/>
          <w:szCs w:val="24"/>
        </w:rPr>
        <w:t xml:space="preserve">4. Explain common rater errors to avoid. We discuss common rater </w:t>
      </w:r>
      <w:r>
        <w:rPr>
          <w:rFonts w:ascii="Times New Roman" w:hAnsi="Times New Roman" w:cs="Times New Roman"/>
          <w:sz w:val="24"/>
          <w:szCs w:val="24"/>
        </w:rPr>
        <w:t xml:space="preserve">errors such as leniency rating, </w:t>
      </w:r>
      <w:r w:rsidRPr="00412AC4">
        <w:rPr>
          <w:rFonts w:ascii="Times New Roman" w:hAnsi="Times New Roman" w:cs="Times New Roman"/>
          <w:sz w:val="24"/>
          <w:szCs w:val="24"/>
        </w:rPr>
        <w:t>confirmation bias, similarity ratings, and halo, and particip</w:t>
      </w:r>
      <w:r>
        <w:rPr>
          <w:rFonts w:ascii="Times New Roman" w:hAnsi="Times New Roman" w:cs="Times New Roman"/>
          <w:sz w:val="24"/>
          <w:szCs w:val="24"/>
        </w:rPr>
        <w:t xml:space="preserve">ants discuss strategies to work </w:t>
      </w:r>
      <w:r w:rsidRPr="00412AC4">
        <w:rPr>
          <w:rFonts w:ascii="Times New Roman" w:hAnsi="Times New Roman" w:cs="Times New Roman"/>
          <w:sz w:val="24"/>
          <w:szCs w:val="24"/>
        </w:rPr>
        <w:t>through them.</w:t>
      </w:r>
    </w:p>
    <w:p w:rsidR="00412AC4" w:rsidRPr="00412AC4" w:rsidRDefault="00412AC4" w:rsidP="00412AC4">
      <w:pPr>
        <w:rPr>
          <w:rFonts w:ascii="Times New Roman" w:hAnsi="Times New Roman" w:cs="Times New Roman"/>
          <w:sz w:val="24"/>
          <w:szCs w:val="24"/>
        </w:rPr>
      </w:pPr>
      <w:r w:rsidRPr="00412AC4">
        <w:rPr>
          <w:rFonts w:ascii="Times New Roman" w:hAnsi="Times New Roman" w:cs="Times New Roman"/>
          <w:sz w:val="24"/>
          <w:szCs w:val="24"/>
        </w:rPr>
        <w:t xml:space="preserve">5. Describe the process for decision-making. Raters develop </w:t>
      </w:r>
      <w:r w:rsidR="00367329">
        <w:rPr>
          <w:rFonts w:ascii="Times New Roman" w:hAnsi="Times New Roman" w:cs="Times New Roman"/>
          <w:sz w:val="24"/>
          <w:szCs w:val="24"/>
        </w:rPr>
        <w:t xml:space="preserve">objective strategies for making </w:t>
      </w:r>
      <w:r w:rsidRPr="00412AC4">
        <w:rPr>
          <w:rFonts w:ascii="Times New Roman" w:hAnsi="Times New Roman" w:cs="Times New Roman"/>
          <w:sz w:val="24"/>
          <w:szCs w:val="24"/>
        </w:rPr>
        <w:t>ratings, including note taking, sticking to the rating scale, and rating on each d</w:t>
      </w:r>
      <w:r>
        <w:rPr>
          <w:rFonts w:ascii="Times New Roman" w:hAnsi="Times New Roman" w:cs="Times New Roman"/>
          <w:sz w:val="24"/>
          <w:szCs w:val="24"/>
        </w:rPr>
        <w:t xml:space="preserve">imension </w:t>
      </w:r>
      <w:r w:rsidRPr="00412AC4">
        <w:rPr>
          <w:rFonts w:ascii="Times New Roman" w:hAnsi="Times New Roman" w:cs="Times New Roman"/>
          <w:sz w:val="24"/>
          <w:szCs w:val="24"/>
        </w:rPr>
        <w:t>separately.</w:t>
      </w:r>
    </w:p>
    <w:p w:rsidR="00412AC4" w:rsidRPr="00412AC4" w:rsidRDefault="00412AC4" w:rsidP="00412AC4">
      <w:pPr>
        <w:rPr>
          <w:rFonts w:ascii="Times New Roman" w:hAnsi="Times New Roman" w:cs="Times New Roman"/>
          <w:sz w:val="24"/>
          <w:szCs w:val="24"/>
        </w:rPr>
      </w:pPr>
      <w:r w:rsidRPr="00412AC4">
        <w:rPr>
          <w:rFonts w:ascii="Times New Roman" w:hAnsi="Times New Roman" w:cs="Times New Roman"/>
          <w:sz w:val="24"/>
          <w:szCs w:val="24"/>
        </w:rPr>
        <w:t>6.</w:t>
      </w:r>
      <w:r>
        <w:rPr>
          <w:rFonts w:ascii="Times New Roman" w:hAnsi="Times New Roman" w:cs="Times New Roman"/>
          <w:sz w:val="24"/>
          <w:szCs w:val="24"/>
        </w:rPr>
        <w:t xml:space="preserve"> Participants practice </w:t>
      </w:r>
      <w:r w:rsidRPr="00412AC4">
        <w:rPr>
          <w:rFonts w:ascii="Times New Roman" w:hAnsi="Times New Roman" w:cs="Times New Roman"/>
          <w:sz w:val="24"/>
          <w:szCs w:val="24"/>
        </w:rPr>
        <w:t>con</w:t>
      </w:r>
      <w:r>
        <w:rPr>
          <w:rFonts w:ascii="Times New Roman" w:hAnsi="Times New Roman" w:cs="Times New Roman"/>
          <w:sz w:val="24"/>
          <w:szCs w:val="24"/>
        </w:rPr>
        <w:t xml:space="preserve">necting evidence to performance </w:t>
      </w:r>
      <w:r w:rsidRPr="00412AC4">
        <w:rPr>
          <w:rFonts w:ascii="Times New Roman" w:hAnsi="Times New Roman" w:cs="Times New Roman"/>
          <w:sz w:val="24"/>
          <w:szCs w:val="24"/>
        </w:rPr>
        <w:t>dimensions, with feedback provided. Raters pull out evidence f</w:t>
      </w:r>
      <w:r w:rsidR="00367329">
        <w:rPr>
          <w:rFonts w:ascii="Times New Roman" w:hAnsi="Times New Roman" w:cs="Times New Roman"/>
          <w:sz w:val="24"/>
          <w:szCs w:val="24"/>
        </w:rPr>
        <w:t xml:space="preserve">rom a provided example. </w:t>
      </w:r>
      <w:r w:rsidRPr="00412AC4">
        <w:rPr>
          <w:rFonts w:ascii="Times New Roman" w:hAnsi="Times New Roman" w:cs="Times New Roman"/>
          <w:sz w:val="24"/>
          <w:szCs w:val="24"/>
        </w:rPr>
        <w:t>The raters discuss their findings and receive feedback.</w:t>
      </w:r>
    </w:p>
    <w:p w:rsidR="00412AC4" w:rsidRPr="00412AC4" w:rsidRDefault="00412AC4" w:rsidP="00412AC4">
      <w:pPr>
        <w:rPr>
          <w:rFonts w:ascii="Times New Roman" w:hAnsi="Times New Roman" w:cs="Times New Roman"/>
          <w:sz w:val="24"/>
          <w:szCs w:val="24"/>
        </w:rPr>
      </w:pPr>
      <w:r w:rsidRPr="00412AC4">
        <w:rPr>
          <w:rFonts w:ascii="Times New Roman" w:hAnsi="Times New Roman" w:cs="Times New Roman"/>
          <w:sz w:val="24"/>
          <w:szCs w:val="24"/>
        </w:rPr>
        <w:t>7. Participants practice interpreting the rubrics. For this step, r</w:t>
      </w:r>
      <w:r w:rsidR="00367329">
        <w:rPr>
          <w:rFonts w:ascii="Times New Roman" w:hAnsi="Times New Roman" w:cs="Times New Roman"/>
          <w:sz w:val="24"/>
          <w:szCs w:val="24"/>
        </w:rPr>
        <w:t xml:space="preserve">aters work through the language </w:t>
      </w:r>
      <w:r w:rsidRPr="00412AC4">
        <w:rPr>
          <w:rFonts w:ascii="Times New Roman" w:hAnsi="Times New Roman" w:cs="Times New Roman"/>
          <w:sz w:val="24"/>
          <w:szCs w:val="24"/>
        </w:rPr>
        <w:t xml:space="preserve">presented in the rubric rating scales. Words will be explored to </w:t>
      </w:r>
      <w:r w:rsidR="00367329">
        <w:rPr>
          <w:rFonts w:ascii="Times New Roman" w:hAnsi="Times New Roman" w:cs="Times New Roman"/>
          <w:sz w:val="24"/>
          <w:szCs w:val="24"/>
        </w:rPr>
        <w:t xml:space="preserve">better understand how different </w:t>
      </w:r>
      <w:r w:rsidRPr="00412AC4">
        <w:rPr>
          <w:rFonts w:ascii="Times New Roman" w:hAnsi="Times New Roman" w:cs="Times New Roman"/>
          <w:sz w:val="24"/>
          <w:szCs w:val="24"/>
        </w:rPr>
        <w:t>raters interpret the words selected in the ratings. Prototype ex</w:t>
      </w:r>
      <w:r w:rsidR="00367329">
        <w:rPr>
          <w:rFonts w:ascii="Times New Roman" w:hAnsi="Times New Roman" w:cs="Times New Roman"/>
          <w:sz w:val="24"/>
          <w:szCs w:val="24"/>
        </w:rPr>
        <w:t xml:space="preserve">amples are shared, which raters </w:t>
      </w:r>
      <w:r w:rsidRPr="00412AC4">
        <w:rPr>
          <w:rFonts w:ascii="Times New Roman" w:hAnsi="Times New Roman" w:cs="Times New Roman"/>
          <w:sz w:val="24"/>
          <w:szCs w:val="24"/>
        </w:rPr>
        <w:t>use for practice. Discussion follows this step.</w:t>
      </w:r>
    </w:p>
    <w:p w:rsidR="00367329" w:rsidRDefault="00412AC4" w:rsidP="00412AC4">
      <w:pPr>
        <w:rPr>
          <w:rFonts w:ascii="Times New Roman" w:hAnsi="Times New Roman" w:cs="Times New Roman"/>
          <w:sz w:val="24"/>
          <w:szCs w:val="24"/>
        </w:rPr>
      </w:pPr>
      <w:r w:rsidRPr="00412AC4">
        <w:rPr>
          <w:rFonts w:ascii="Times New Roman" w:hAnsi="Times New Roman" w:cs="Times New Roman"/>
          <w:sz w:val="24"/>
          <w:szCs w:val="24"/>
        </w:rPr>
        <w:t>8. Rater training will be concluded with independent rating</w:t>
      </w:r>
      <w:r w:rsidR="00367329">
        <w:rPr>
          <w:rFonts w:ascii="Times New Roman" w:hAnsi="Times New Roman" w:cs="Times New Roman"/>
          <w:sz w:val="24"/>
          <w:szCs w:val="24"/>
        </w:rPr>
        <w:t xml:space="preserve">s on common examples, which are </w:t>
      </w:r>
      <w:r w:rsidRPr="00412AC4">
        <w:rPr>
          <w:rFonts w:ascii="Times New Roman" w:hAnsi="Times New Roman" w:cs="Times New Roman"/>
          <w:sz w:val="24"/>
          <w:szCs w:val="24"/>
        </w:rPr>
        <w:t>documented for reliability via adjacent agreement.</w:t>
      </w:r>
    </w:p>
    <w:p w:rsidR="00367329" w:rsidRDefault="00367329" w:rsidP="00412AC4">
      <w:pPr>
        <w:rPr>
          <w:rFonts w:ascii="Times New Roman" w:hAnsi="Times New Roman" w:cs="Times New Roman"/>
          <w:sz w:val="24"/>
          <w:szCs w:val="24"/>
        </w:rPr>
      </w:pPr>
    </w:p>
    <w:p w:rsidR="002B5B48" w:rsidRDefault="002B5B48" w:rsidP="00412AC4">
      <w:pPr>
        <w:rPr>
          <w:rFonts w:ascii="Times New Roman" w:hAnsi="Times New Roman" w:cs="Times New Roman"/>
          <w:b/>
          <w:sz w:val="24"/>
          <w:szCs w:val="24"/>
        </w:rPr>
      </w:pPr>
      <w:r w:rsidRPr="00367329">
        <w:rPr>
          <w:rFonts w:ascii="Times New Roman" w:hAnsi="Times New Roman" w:cs="Times New Roman"/>
          <w:b/>
          <w:sz w:val="24"/>
          <w:szCs w:val="24"/>
        </w:rPr>
        <w:t>Examples of assessments that have</w:t>
      </w:r>
      <w:r>
        <w:rPr>
          <w:rFonts w:ascii="Times New Roman" w:hAnsi="Times New Roman" w:cs="Times New Roman"/>
          <w:b/>
          <w:sz w:val="24"/>
          <w:szCs w:val="24"/>
        </w:rPr>
        <w:t xml:space="preserve"> been evaluated for</w:t>
      </w:r>
      <w:r w:rsidRPr="00367329">
        <w:rPr>
          <w:rFonts w:ascii="Times New Roman" w:hAnsi="Times New Roman" w:cs="Times New Roman"/>
          <w:b/>
          <w:sz w:val="24"/>
          <w:szCs w:val="24"/>
        </w:rPr>
        <w:t xml:space="preserve"> reliability:</w:t>
      </w:r>
    </w:p>
    <w:p w:rsidR="002B5B48" w:rsidRDefault="002B5B48" w:rsidP="00412AC4">
      <w:pPr>
        <w:rPr>
          <w:rFonts w:ascii="Times New Roman" w:hAnsi="Times New Roman" w:cs="Times New Roman"/>
          <w:b/>
          <w:sz w:val="24"/>
          <w:szCs w:val="24"/>
        </w:rPr>
      </w:pPr>
    </w:p>
    <w:p w:rsidR="002B5B48" w:rsidRDefault="002B5B48" w:rsidP="00412AC4">
      <w:pPr>
        <w:rPr>
          <w:rFonts w:ascii="Times New Roman" w:hAnsi="Times New Roman" w:cs="Times New Roman"/>
          <w:sz w:val="24"/>
          <w:szCs w:val="24"/>
          <w:u w:val="single"/>
        </w:rPr>
      </w:pPr>
      <w:r>
        <w:rPr>
          <w:rFonts w:ascii="Times New Roman" w:hAnsi="Times New Roman" w:cs="Times New Roman"/>
          <w:sz w:val="24"/>
          <w:szCs w:val="24"/>
          <w:u w:val="single"/>
        </w:rPr>
        <w:t>Teacher Candidate Portfolio Rubric</w:t>
      </w:r>
    </w:p>
    <w:p w:rsidR="002B5B48" w:rsidRPr="002B5B48" w:rsidRDefault="002B5B48" w:rsidP="00412AC4">
      <w:pPr>
        <w:rPr>
          <w:rFonts w:ascii="Times New Roman" w:hAnsi="Times New Roman" w:cs="Times New Roman"/>
          <w:sz w:val="24"/>
          <w:szCs w:val="24"/>
          <w:u w:val="single"/>
        </w:rPr>
      </w:pPr>
    </w:p>
    <w:p w:rsidR="00367329" w:rsidRDefault="00DD4366" w:rsidP="00412AC4">
      <w:pPr>
        <w:rPr>
          <w:rFonts w:ascii="Times New Roman" w:hAnsi="Times New Roman" w:cs="Times New Roman"/>
          <w:sz w:val="24"/>
          <w:szCs w:val="24"/>
        </w:rPr>
      </w:pPr>
      <w:r>
        <w:rPr>
          <w:rFonts w:ascii="Times New Roman" w:hAnsi="Times New Roman" w:cs="Times New Roman"/>
          <w:sz w:val="24"/>
          <w:szCs w:val="24"/>
        </w:rPr>
        <w:t xml:space="preserve">The EPP has worked with reliability </w:t>
      </w:r>
      <w:r w:rsidR="00367329">
        <w:rPr>
          <w:rFonts w:ascii="Times New Roman" w:hAnsi="Times New Roman" w:cs="Times New Roman"/>
          <w:sz w:val="24"/>
          <w:szCs w:val="24"/>
        </w:rPr>
        <w:t>on the Teacher Candidate Portfolio which was piloted spring 2018.  The EPP has plans to continue work on key assessment rel</w:t>
      </w:r>
      <w:r w:rsidR="002B5B48">
        <w:rPr>
          <w:rFonts w:ascii="Times New Roman" w:hAnsi="Times New Roman" w:cs="Times New Roman"/>
          <w:sz w:val="24"/>
          <w:szCs w:val="24"/>
        </w:rPr>
        <w:t xml:space="preserve">iability as they are piloted.  </w:t>
      </w:r>
    </w:p>
    <w:p w:rsidR="004E20C8" w:rsidRPr="002B5B48" w:rsidRDefault="004E20C8" w:rsidP="00412AC4">
      <w:pPr>
        <w:rPr>
          <w:rFonts w:ascii="Times New Roman" w:hAnsi="Times New Roman" w:cs="Times New Roman"/>
          <w:sz w:val="24"/>
          <w:szCs w:val="24"/>
        </w:rPr>
      </w:pPr>
    </w:p>
    <w:tbl>
      <w:tblPr>
        <w:tblW w:w="9677" w:type="dxa"/>
        <w:tblLook w:val="04A0" w:firstRow="1" w:lastRow="0" w:firstColumn="1" w:lastColumn="0" w:noHBand="0" w:noVBand="1"/>
      </w:tblPr>
      <w:tblGrid>
        <w:gridCol w:w="4490"/>
        <w:gridCol w:w="759"/>
        <w:gridCol w:w="759"/>
        <w:gridCol w:w="759"/>
        <w:gridCol w:w="759"/>
        <w:gridCol w:w="759"/>
        <w:gridCol w:w="1392"/>
      </w:tblGrid>
      <w:tr w:rsidR="004E20C8" w:rsidRPr="004C6EF6" w:rsidTr="00806574">
        <w:trPr>
          <w:trHeight w:val="330"/>
        </w:trPr>
        <w:tc>
          <w:tcPr>
            <w:tcW w:w="9677" w:type="dxa"/>
            <w:gridSpan w:val="7"/>
            <w:tcBorders>
              <w:top w:val="single" w:sz="8" w:space="0" w:color="auto"/>
              <w:left w:val="single" w:sz="8" w:space="0" w:color="auto"/>
              <w:bottom w:val="single" w:sz="8" w:space="0" w:color="auto"/>
              <w:right w:val="nil"/>
            </w:tcBorders>
            <w:shd w:val="clear" w:color="000000" w:fill="000000"/>
            <w:noWrap/>
            <w:vAlign w:val="center"/>
            <w:hideMark/>
          </w:tcPr>
          <w:p w:rsidR="004E20C8" w:rsidRPr="004C6EF6" w:rsidRDefault="004E20C8" w:rsidP="00806574">
            <w:pPr>
              <w:jc w:val="center"/>
              <w:rPr>
                <w:rFonts w:ascii="Calibri" w:eastAsia="Times New Roman" w:hAnsi="Calibri" w:cs="Calibri"/>
                <w:b/>
                <w:bCs/>
                <w:color w:val="D9D9D9"/>
                <w:sz w:val="24"/>
                <w:szCs w:val="24"/>
              </w:rPr>
            </w:pPr>
            <w:r w:rsidRPr="004C6EF6">
              <w:rPr>
                <w:rFonts w:ascii="Calibri" w:eastAsia="Times New Roman" w:hAnsi="Calibri" w:cs="Calibri"/>
                <w:b/>
                <w:bCs/>
                <w:color w:val="D9D9D9"/>
                <w:sz w:val="24"/>
                <w:szCs w:val="24"/>
              </w:rPr>
              <w:t>INTER-RATER RELIABILITY - PERCENTAGE AGREEMENT</w:t>
            </w:r>
          </w:p>
        </w:tc>
      </w:tr>
      <w:tr w:rsidR="004E20C8" w:rsidRPr="004C6EF6" w:rsidTr="00806574">
        <w:trPr>
          <w:trHeight w:val="750"/>
        </w:trPr>
        <w:tc>
          <w:tcPr>
            <w:tcW w:w="4490" w:type="dxa"/>
            <w:tcBorders>
              <w:top w:val="nil"/>
              <w:left w:val="nil"/>
              <w:bottom w:val="nil"/>
              <w:right w:val="nil"/>
            </w:tcBorders>
            <w:shd w:val="clear" w:color="auto" w:fill="auto"/>
            <w:vAlign w:val="center"/>
            <w:hideMark/>
          </w:tcPr>
          <w:p w:rsidR="004E20C8" w:rsidRPr="004C6EF6" w:rsidRDefault="004E20C8" w:rsidP="00806574">
            <w:pPr>
              <w:jc w:val="center"/>
              <w:rPr>
                <w:rFonts w:ascii="Calibri" w:eastAsia="Times New Roman" w:hAnsi="Calibri" w:cs="Calibri"/>
                <w:b/>
                <w:bCs/>
                <w:color w:val="D9D9D9"/>
                <w:sz w:val="24"/>
                <w:szCs w:val="24"/>
              </w:rPr>
            </w:pPr>
          </w:p>
        </w:tc>
        <w:tc>
          <w:tcPr>
            <w:tcW w:w="759" w:type="dxa"/>
            <w:tcBorders>
              <w:top w:val="nil"/>
              <w:left w:val="single" w:sz="8" w:space="0" w:color="auto"/>
              <w:bottom w:val="single" w:sz="8" w:space="0" w:color="auto"/>
              <w:right w:val="single" w:sz="4" w:space="0" w:color="auto"/>
            </w:tcBorders>
            <w:shd w:val="clear" w:color="000000" w:fill="A6A6A6"/>
            <w:vAlign w:val="center"/>
            <w:hideMark/>
          </w:tcPr>
          <w:p w:rsidR="004E20C8" w:rsidRPr="004C6EF6" w:rsidRDefault="004E20C8" w:rsidP="00806574">
            <w:pPr>
              <w:rPr>
                <w:rFonts w:ascii="Calibri" w:eastAsia="Times New Roman" w:hAnsi="Calibri" w:cs="Calibri"/>
                <w:b/>
                <w:bCs/>
                <w:sz w:val="20"/>
                <w:szCs w:val="20"/>
              </w:rPr>
            </w:pPr>
            <w:r w:rsidRPr="004C6EF6">
              <w:rPr>
                <w:rFonts w:ascii="Calibri" w:eastAsia="Times New Roman" w:hAnsi="Calibri" w:cs="Calibri"/>
                <w:b/>
                <w:bCs/>
                <w:sz w:val="20"/>
                <w:szCs w:val="20"/>
              </w:rPr>
              <w:t>RATER 1</w:t>
            </w:r>
          </w:p>
        </w:tc>
        <w:tc>
          <w:tcPr>
            <w:tcW w:w="759" w:type="dxa"/>
            <w:tcBorders>
              <w:top w:val="nil"/>
              <w:left w:val="nil"/>
              <w:bottom w:val="single" w:sz="8" w:space="0" w:color="auto"/>
              <w:right w:val="single" w:sz="4" w:space="0" w:color="auto"/>
            </w:tcBorders>
            <w:shd w:val="clear" w:color="000000" w:fill="A6A6A6"/>
            <w:vAlign w:val="center"/>
            <w:hideMark/>
          </w:tcPr>
          <w:p w:rsidR="004E20C8" w:rsidRPr="004C6EF6" w:rsidRDefault="004E20C8" w:rsidP="00806574">
            <w:pPr>
              <w:rPr>
                <w:rFonts w:ascii="Calibri" w:eastAsia="Times New Roman" w:hAnsi="Calibri" w:cs="Calibri"/>
                <w:b/>
                <w:bCs/>
                <w:sz w:val="20"/>
                <w:szCs w:val="20"/>
              </w:rPr>
            </w:pPr>
            <w:r w:rsidRPr="004C6EF6">
              <w:rPr>
                <w:rFonts w:ascii="Calibri" w:eastAsia="Times New Roman" w:hAnsi="Calibri" w:cs="Calibri"/>
                <w:b/>
                <w:bCs/>
                <w:sz w:val="20"/>
                <w:szCs w:val="20"/>
              </w:rPr>
              <w:t>RATER 2</w:t>
            </w:r>
          </w:p>
        </w:tc>
        <w:tc>
          <w:tcPr>
            <w:tcW w:w="759" w:type="dxa"/>
            <w:tcBorders>
              <w:top w:val="nil"/>
              <w:left w:val="nil"/>
              <w:bottom w:val="single" w:sz="8" w:space="0" w:color="auto"/>
              <w:right w:val="single" w:sz="4" w:space="0" w:color="auto"/>
            </w:tcBorders>
            <w:shd w:val="clear" w:color="000000" w:fill="A6A6A6"/>
            <w:vAlign w:val="center"/>
            <w:hideMark/>
          </w:tcPr>
          <w:p w:rsidR="004E20C8" w:rsidRPr="004C6EF6" w:rsidRDefault="004E20C8" w:rsidP="00806574">
            <w:pPr>
              <w:rPr>
                <w:rFonts w:ascii="Calibri" w:eastAsia="Times New Roman" w:hAnsi="Calibri" w:cs="Calibri"/>
                <w:b/>
                <w:bCs/>
                <w:sz w:val="20"/>
                <w:szCs w:val="20"/>
              </w:rPr>
            </w:pPr>
            <w:r w:rsidRPr="004C6EF6">
              <w:rPr>
                <w:rFonts w:ascii="Calibri" w:eastAsia="Times New Roman" w:hAnsi="Calibri" w:cs="Calibri"/>
                <w:b/>
                <w:bCs/>
                <w:sz w:val="20"/>
                <w:szCs w:val="20"/>
              </w:rPr>
              <w:t>RATER 3</w:t>
            </w:r>
          </w:p>
        </w:tc>
        <w:tc>
          <w:tcPr>
            <w:tcW w:w="759" w:type="dxa"/>
            <w:tcBorders>
              <w:top w:val="nil"/>
              <w:left w:val="nil"/>
              <w:bottom w:val="single" w:sz="8" w:space="0" w:color="auto"/>
              <w:right w:val="single" w:sz="4" w:space="0" w:color="auto"/>
            </w:tcBorders>
            <w:shd w:val="clear" w:color="000000" w:fill="A6A6A6"/>
            <w:vAlign w:val="center"/>
            <w:hideMark/>
          </w:tcPr>
          <w:p w:rsidR="004E20C8" w:rsidRPr="004C6EF6" w:rsidRDefault="004E20C8" w:rsidP="00806574">
            <w:pPr>
              <w:rPr>
                <w:rFonts w:ascii="Calibri" w:eastAsia="Times New Roman" w:hAnsi="Calibri" w:cs="Calibri"/>
                <w:b/>
                <w:bCs/>
                <w:sz w:val="20"/>
                <w:szCs w:val="20"/>
              </w:rPr>
            </w:pPr>
            <w:r w:rsidRPr="004C6EF6">
              <w:rPr>
                <w:rFonts w:ascii="Calibri" w:eastAsia="Times New Roman" w:hAnsi="Calibri" w:cs="Calibri"/>
                <w:b/>
                <w:bCs/>
                <w:sz w:val="20"/>
                <w:szCs w:val="20"/>
              </w:rPr>
              <w:t>RATER 4</w:t>
            </w:r>
          </w:p>
        </w:tc>
        <w:tc>
          <w:tcPr>
            <w:tcW w:w="759" w:type="dxa"/>
            <w:tcBorders>
              <w:top w:val="nil"/>
              <w:left w:val="nil"/>
              <w:bottom w:val="single" w:sz="8" w:space="0" w:color="auto"/>
              <w:right w:val="single" w:sz="8" w:space="0" w:color="auto"/>
            </w:tcBorders>
            <w:shd w:val="clear" w:color="000000" w:fill="A6A6A6"/>
            <w:vAlign w:val="center"/>
            <w:hideMark/>
          </w:tcPr>
          <w:p w:rsidR="004E20C8" w:rsidRPr="004C6EF6" w:rsidRDefault="004E20C8" w:rsidP="00806574">
            <w:pPr>
              <w:rPr>
                <w:rFonts w:ascii="Calibri" w:eastAsia="Times New Roman" w:hAnsi="Calibri" w:cs="Calibri"/>
                <w:b/>
                <w:bCs/>
                <w:sz w:val="20"/>
                <w:szCs w:val="20"/>
              </w:rPr>
            </w:pPr>
            <w:r w:rsidRPr="004C6EF6">
              <w:rPr>
                <w:rFonts w:ascii="Calibri" w:eastAsia="Times New Roman" w:hAnsi="Calibri" w:cs="Calibri"/>
                <w:b/>
                <w:bCs/>
                <w:sz w:val="20"/>
                <w:szCs w:val="20"/>
              </w:rPr>
              <w:t>RATER 5</w:t>
            </w:r>
          </w:p>
        </w:tc>
        <w:tc>
          <w:tcPr>
            <w:tcW w:w="1392" w:type="dxa"/>
            <w:tcBorders>
              <w:top w:val="nil"/>
              <w:left w:val="nil"/>
              <w:bottom w:val="single" w:sz="8" w:space="0" w:color="auto"/>
              <w:right w:val="single" w:sz="8" w:space="0" w:color="auto"/>
            </w:tcBorders>
            <w:shd w:val="clear" w:color="000000" w:fill="A6A6A6"/>
            <w:vAlign w:val="center"/>
            <w:hideMark/>
          </w:tcPr>
          <w:p w:rsidR="004E20C8" w:rsidRPr="004C6EF6" w:rsidRDefault="004E20C8" w:rsidP="00806574">
            <w:pPr>
              <w:rPr>
                <w:rFonts w:ascii="Calibri" w:eastAsia="Times New Roman" w:hAnsi="Calibri" w:cs="Calibri"/>
                <w:b/>
                <w:bCs/>
                <w:sz w:val="20"/>
                <w:szCs w:val="20"/>
              </w:rPr>
            </w:pPr>
            <w:r w:rsidRPr="004C6EF6">
              <w:rPr>
                <w:rFonts w:ascii="Calibri" w:eastAsia="Times New Roman" w:hAnsi="Calibri" w:cs="Calibri"/>
                <w:b/>
                <w:bCs/>
                <w:sz w:val="20"/>
                <w:szCs w:val="20"/>
              </w:rPr>
              <w:t>INTER-RATER RELIABILITY</w:t>
            </w:r>
          </w:p>
        </w:tc>
      </w:tr>
      <w:tr w:rsidR="004E20C8" w:rsidRPr="004C6EF6" w:rsidTr="00806574">
        <w:trPr>
          <w:trHeight w:val="300"/>
        </w:trPr>
        <w:tc>
          <w:tcPr>
            <w:tcW w:w="4490" w:type="dxa"/>
            <w:tcBorders>
              <w:top w:val="single" w:sz="8" w:space="0" w:color="auto"/>
              <w:left w:val="single" w:sz="8" w:space="0" w:color="auto"/>
              <w:bottom w:val="single" w:sz="4" w:space="0" w:color="auto"/>
              <w:right w:val="single" w:sz="8" w:space="0" w:color="auto"/>
            </w:tcBorders>
            <w:shd w:val="clear" w:color="000000" w:fill="632523"/>
            <w:vAlign w:val="center"/>
            <w:hideMark/>
          </w:tcPr>
          <w:p w:rsidR="004E20C8" w:rsidRPr="004C6EF6" w:rsidRDefault="004E20C8" w:rsidP="00806574">
            <w:pPr>
              <w:rPr>
                <w:rFonts w:ascii="Calibri" w:eastAsia="Times New Roman" w:hAnsi="Calibri" w:cs="Calibri"/>
                <w:b/>
                <w:bCs/>
                <w:color w:val="BFBFBF"/>
                <w:sz w:val="20"/>
                <w:szCs w:val="20"/>
              </w:rPr>
            </w:pPr>
            <w:r w:rsidRPr="004C6EF6">
              <w:rPr>
                <w:rFonts w:ascii="Calibri" w:eastAsia="Times New Roman" w:hAnsi="Calibri" w:cs="Calibri"/>
                <w:b/>
                <w:bCs/>
                <w:color w:val="BFBFBF"/>
                <w:sz w:val="20"/>
                <w:szCs w:val="20"/>
              </w:rPr>
              <w:t>BELIEF THAT ALL STUDENTS CAN LEARN</w:t>
            </w:r>
          </w:p>
        </w:tc>
        <w:tc>
          <w:tcPr>
            <w:tcW w:w="759" w:type="dxa"/>
            <w:tcBorders>
              <w:top w:val="nil"/>
              <w:left w:val="nil"/>
              <w:bottom w:val="single" w:sz="4" w:space="0" w:color="auto"/>
              <w:right w:val="single" w:sz="4"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2</w:t>
            </w:r>
          </w:p>
        </w:tc>
        <w:tc>
          <w:tcPr>
            <w:tcW w:w="759" w:type="dxa"/>
            <w:tcBorders>
              <w:top w:val="nil"/>
              <w:left w:val="nil"/>
              <w:bottom w:val="single" w:sz="4" w:space="0" w:color="auto"/>
              <w:right w:val="single" w:sz="4"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2</w:t>
            </w:r>
          </w:p>
        </w:tc>
        <w:tc>
          <w:tcPr>
            <w:tcW w:w="759" w:type="dxa"/>
            <w:tcBorders>
              <w:top w:val="nil"/>
              <w:left w:val="nil"/>
              <w:bottom w:val="single" w:sz="4" w:space="0" w:color="auto"/>
              <w:right w:val="single" w:sz="4"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sz w:val="20"/>
                <w:szCs w:val="20"/>
              </w:rPr>
            </w:pPr>
            <w:r w:rsidRPr="004C6EF6">
              <w:rPr>
                <w:rFonts w:ascii="Calibri" w:eastAsia="Times New Roman" w:hAnsi="Calibri" w:cs="Calibri"/>
                <w:sz w:val="20"/>
                <w:szCs w:val="20"/>
              </w:rPr>
              <w:t>2</w:t>
            </w:r>
          </w:p>
        </w:tc>
        <w:tc>
          <w:tcPr>
            <w:tcW w:w="759" w:type="dxa"/>
            <w:tcBorders>
              <w:top w:val="nil"/>
              <w:left w:val="nil"/>
              <w:bottom w:val="single" w:sz="4" w:space="0" w:color="auto"/>
              <w:right w:val="single" w:sz="4"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2</w:t>
            </w:r>
          </w:p>
        </w:tc>
        <w:tc>
          <w:tcPr>
            <w:tcW w:w="759" w:type="dxa"/>
            <w:tcBorders>
              <w:top w:val="nil"/>
              <w:left w:val="nil"/>
              <w:bottom w:val="single" w:sz="4" w:space="0" w:color="auto"/>
              <w:right w:val="single" w:sz="8"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2</w:t>
            </w:r>
          </w:p>
        </w:tc>
        <w:tc>
          <w:tcPr>
            <w:tcW w:w="1392" w:type="dxa"/>
            <w:tcBorders>
              <w:top w:val="nil"/>
              <w:left w:val="nil"/>
              <w:bottom w:val="single" w:sz="4" w:space="0" w:color="auto"/>
              <w:right w:val="single" w:sz="8" w:space="0" w:color="auto"/>
            </w:tcBorders>
            <w:shd w:val="clear" w:color="000000" w:fill="D9D9D9"/>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100.00%</w:t>
            </w:r>
          </w:p>
        </w:tc>
      </w:tr>
      <w:tr w:rsidR="004E20C8" w:rsidRPr="004C6EF6" w:rsidTr="00806574">
        <w:trPr>
          <w:trHeight w:val="300"/>
        </w:trPr>
        <w:tc>
          <w:tcPr>
            <w:tcW w:w="4490" w:type="dxa"/>
            <w:tcBorders>
              <w:top w:val="nil"/>
              <w:left w:val="single" w:sz="8" w:space="0" w:color="auto"/>
              <w:bottom w:val="single" w:sz="4" w:space="0" w:color="auto"/>
              <w:right w:val="single" w:sz="8" w:space="0" w:color="auto"/>
            </w:tcBorders>
            <w:shd w:val="clear" w:color="000000" w:fill="632523"/>
            <w:vAlign w:val="center"/>
            <w:hideMark/>
          </w:tcPr>
          <w:p w:rsidR="004E20C8" w:rsidRPr="004C6EF6" w:rsidRDefault="004E20C8" w:rsidP="00806574">
            <w:pPr>
              <w:rPr>
                <w:rFonts w:ascii="Calibri" w:eastAsia="Times New Roman" w:hAnsi="Calibri" w:cs="Calibri"/>
                <w:b/>
                <w:bCs/>
                <w:color w:val="BFBFBF"/>
                <w:sz w:val="20"/>
                <w:szCs w:val="20"/>
              </w:rPr>
            </w:pPr>
            <w:r w:rsidRPr="004C6EF6">
              <w:rPr>
                <w:rFonts w:ascii="Calibri" w:eastAsia="Times New Roman" w:hAnsi="Calibri" w:cs="Calibri"/>
                <w:b/>
                <w:bCs/>
                <w:color w:val="BFBFBF"/>
                <w:sz w:val="20"/>
                <w:szCs w:val="20"/>
              </w:rPr>
              <w:t>LEADERSHIP</w:t>
            </w:r>
          </w:p>
        </w:tc>
        <w:tc>
          <w:tcPr>
            <w:tcW w:w="759" w:type="dxa"/>
            <w:tcBorders>
              <w:top w:val="nil"/>
              <w:left w:val="nil"/>
              <w:bottom w:val="single" w:sz="4" w:space="0" w:color="auto"/>
              <w:right w:val="single" w:sz="4"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3</w:t>
            </w:r>
          </w:p>
        </w:tc>
        <w:tc>
          <w:tcPr>
            <w:tcW w:w="759" w:type="dxa"/>
            <w:tcBorders>
              <w:top w:val="nil"/>
              <w:left w:val="nil"/>
              <w:bottom w:val="single" w:sz="4" w:space="0" w:color="auto"/>
              <w:right w:val="single" w:sz="4"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3</w:t>
            </w:r>
          </w:p>
        </w:tc>
        <w:tc>
          <w:tcPr>
            <w:tcW w:w="759" w:type="dxa"/>
            <w:tcBorders>
              <w:top w:val="nil"/>
              <w:left w:val="nil"/>
              <w:bottom w:val="single" w:sz="4" w:space="0" w:color="auto"/>
              <w:right w:val="single" w:sz="4"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2</w:t>
            </w:r>
          </w:p>
        </w:tc>
        <w:tc>
          <w:tcPr>
            <w:tcW w:w="759" w:type="dxa"/>
            <w:tcBorders>
              <w:top w:val="nil"/>
              <w:left w:val="nil"/>
              <w:bottom w:val="single" w:sz="4" w:space="0" w:color="auto"/>
              <w:right w:val="single" w:sz="4"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3</w:t>
            </w:r>
          </w:p>
        </w:tc>
        <w:tc>
          <w:tcPr>
            <w:tcW w:w="759" w:type="dxa"/>
            <w:tcBorders>
              <w:top w:val="nil"/>
              <w:left w:val="nil"/>
              <w:bottom w:val="single" w:sz="4" w:space="0" w:color="auto"/>
              <w:right w:val="single" w:sz="8"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3</w:t>
            </w:r>
          </w:p>
        </w:tc>
        <w:tc>
          <w:tcPr>
            <w:tcW w:w="1392" w:type="dxa"/>
            <w:tcBorders>
              <w:top w:val="nil"/>
              <w:left w:val="nil"/>
              <w:bottom w:val="single" w:sz="4" w:space="0" w:color="auto"/>
              <w:right w:val="single" w:sz="8" w:space="0" w:color="auto"/>
            </w:tcBorders>
            <w:shd w:val="clear" w:color="000000" w:fill="D9D9D9"/>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60.00%</w:t>
            </w:r>
          </w:p>
        </w:tc>
      </w:tr>
      <w:tr w:rsidR="004E20C8" w:rsidRPr="004C6EF6" w:rsidTr="00806574">
        <w:trPr>
          <w:trHeight w:val="300"/>
        </w:trPr>
        <w:tc>
          <w:tcPr>
            <w:tcW w:w="4490" w:type="dxa"/>
            <w:tcBorders>
              <w:top w:val="nil"/>
              <w:left w:val="single" w:sz="8" w:space="0" w:color="auto"/>
              <w:bottom w:val="single" w:sz="4" w:space="0" w:color="auto"/>
              <w:right w:val="single" w:sz="8" w:space="0" w:color="auto"/>
            </w:tcBorders>
            <w:shd w:val="clear" w:color="000000" w:fill="632523"/>
            <w:vAlign w:val="center"/>
            <w:hideMark/>
          </w:tcPr>
          <w:p w:rsidR="004E20C8" w:rsidRPr="004C6EF6" w:rsidRDefault="004E20C8" w:rsidP="00806574">
            <w:pPr>
              <w:rPr>
                <w:rFonts w:ascii="Calibri" w:eastAsia="Times New Roman" w:hAnsi="Calibri" w:cs="Calibri"/>
                <w:b/>
                <w:bCs/>
                <w:color w:val="BFBFBF"/>
                <w:sz w:val="20"/>
                <w:szCs w:val="20"/>
              </w:rPr>
            </w:pPr>
            <w:r w:rsidRPr="004C6EF6">
              <w:rPr>
                <w:rFonts w:ascii="Calibri" w:eastAsia="Times New Roman" w:hAnsi="Calibri" w:cs="Calibri"/>
                <w:b/>
                <w:bCs/>
                <w:color w:val="BFBFBF"/>
                <w:sz w:val="20"/>
                <w:szCs w:val="20"/>
              </w:rPr>
              <w:t>OPEN TO CHANGE &amp; NEW IDEAS</w:t>
            </w:r>
          </w:p>
        </w:tc>
        <w:tc>
          <w:tcPr>
            <w:tcW w:w="759" w:type="dxa"/>
            <w:tcBorders>
              <w:top w:val="nil"/>
              <w:left w:val="nil"/>
              <w:bottom w:val="single" w:sz="4" w:space="0" w:color="auto"/>
              <w:right w:val="single" w:sz="4"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2</w:t>
            </w:r>
          </w:p>
        </w:tc>
        <w:tc>
          <w:tcPr>
            <w:tcW w:w="759" w:type="dxa"/>
            <w:tcBorders>
              <w:top w:val="nil"/>
              <w:left w:val="nil"/>
              <w:bottom w:val="single" w:sz="4" w:space="0" w:color="auto"/>
              <w:right w:val="single" w:sz="4"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2</w:t>
            </w:r>
          </w:p>
        </w:tc>
        <w:tc>
          <w:tcPr>
            <w:tcW w:w="759" w:type="dxa"/>
            <w:tcBorders>
              <w:top w:val="nil"/>
              <w:left w:val="nil"/>
              <w:bottom w:val="single" w:sz="4" w:space="0" w:color="auto"/>
              <w:right w:val="single" w:sz="4"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2</w:t>
            </w:r>
          </w:p>
        </w:tc>
        <w:tc>
          <w:tcPr>
            <w:tcW w:w="759" w:type="dxa"/>
            <w:tcBorders>
              <w:top w:val="nil"/>
              <w:left w:val="nil"/>
              <w:bottom w:val="single" w:sz="4" w:space="0" w:color="auto"/>
              <w:right w:val="single" w:sz="4"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2</w:t>
            </w:r>
          </w:p>
        </w:tc>
        <w:tc>
          <w:tcPr>
            <w:tcW w:w="759" w:type="dxa"/>
            <w:tcBorders>
              <w:top w:val="nil"/>
              <w:left w:val="nil"/>
              <w:bottom w:val="single" w:sz="4" w:space="0" w:color="auto"/>
              <w:right w:val="single" w:sz="8"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2</w:t>
            </w:r>
          </w:p>
        </w:tc>
        <w:tc>
          <w:tcPr>
            <w:tcW w:w="1392" w:type="dxa"/>
            <w:tcBorders>
              <w:top w:val="nil"/>
              <w:left w:val="nil"/>
              <w:bottom w:val="single" w:sz="4" w:space="0" w:color="auto"/>
              <w:right w:val="single" w:sz="8" w:space="0" w:color="auto"/>
            </w:tcBorders>
            <w:shd w:val="clear" w:color="000000" w:fill="D9D9D9"/>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100.00%</w:t>
            </w:r>
          </w:p>
        </w:tc>
      </w:tr>
      <w:tr w:rsidR="004E20C8" w:rsidRPr="004C6EF6" w:rsidTr="00806574">
        <w:trPr>
          <w:trHeight w:val="300"/>
        </w:trPr>
        <w:tc>
          <w:tcPr>
            <w:tcW w:w="4490" w:type="dxa"/>
            <w:tcBorders>
              <w:top w:val="nil"/>
              <w:left w:val="single" w:sz="8" w:space="0" w:color="auto"/>
              <w:bottom w:val="single" w:sz="4" w:space="0" w:color="auto"/>
              <w:right w:val="single" w:sz="8" w:space="0" w:color="auto"/>
            </w:tcBorders>
            <w:shd w:val="clear" w:color="000000" w:fill="632523"/>
            <w:vAlign w:val="center"/>
            <w:hideMark/>
          </w:tcPr>
          <w:p w:rsidR="004E20C8" w:rsidRPr="004C6EF6" w:rsidRDefault="004E20C8" w:rsidP="00806574">
            <w:pPr>
              <w:rPr>
                <w:rFonts w:ascii="Calibri" w:eastAsia="Times New Roman" w:hAnsi="Calibri" w:cs="Calibri"/>
                <w:b/>
                <w:bCs/>
                <w:color w:val="BFBFBF"/>
                <w:sz w:val="20"/>
                <w:szCs w:val="20"/>
              </w:rPr>
            </w:pPr>
            <w:r w:rsidRPr="004C6EF6">
              <w:rPr>
                <w:rFonts w:ascii="Calibri" w:eastAsia="Times New Roman" w:hAnsi="Calibri" w:cs="Calibri"/>
                <w:b/>
                <w:bCs/>
                <w:color w:val="BFBFBF"/>
                <w:sz w:val="20"/>
                <w:szCs w:val="20"/>
              </w:rPr>
              <w:t>REFLECTION: DESCRIPTION OF EXPERIENCE</w:t>
            </w:r>
          </w:p>
        </w:tc>
        <w:tc>
          <w:tcPr>
            <w:tcW w:w="759" w:type="dxa"/>
            <w:tcBorders>
              <w:top w:val="nil"/>
              <w:left w:val="nil"/>
              <w:bottom w:val="single" w:sz="4" w:space="0" w:color="auto"/>
              <w:right w:val="single" w:sz="4"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2</w:t>
            </w:r>
          </w:p>
        </w:tc>
        <w:tc>
          <w:tcPr>
            <w:tcW w:w="759" w:type="dxa"/>
            <w:tcBorders>
              <w:top w:val="nil"/>
              <w:left w:val="nil"/>
              <w:bottom w:val="single" w:sz="4" w:space="0" w:color="auto"/>
              <w:right w:val="single" w:sz="4"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2</w:t>
            </w:r>
          </w:p>
        </w:tc>
        <w:tc>
          <w:tcPr>
            <w:tcW w:w="759" w:type="dxa"/>
            <w:tcBorders>
              <w:top w:val="nil"/>
              <w:left w:val="nil"/>
              <w:bottom w:val="single" w:sz="4" w:space="0" w:color="auto"/>
              <w:right w:val="single" w:sz="4"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2</w:t>
            </w:r>
          </w:p>
        </w:tc>
        <w:tc>
          <w:tcPr>
            <w:tcW w:w="759" w:type="dxa"/>
            <w:tcBorders>
              <w:top w:val="nil"/>
              <w:left w:val="nil"/>
              <w:bottom w:val="single" w:sz="4" w:space="0" w:color="auto"/>
              <w:right w:val="single" w:sz="4"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2</w:t>
            </w:r>
          </w:p>
        </w:tc>
        <w:tc>
          <w:tcPr>
            <w:tcW w:w="759" w:type="dxa"/>
            <w:tcBorders>
              <w:top w:val="nil"/>
              <w:left w:val="nil"/>
              <w:bottom w:val="single" w:sz="4" w:space="0" w:color="auto"/>
              <w:right w:val="single" w:sz="8"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2</w:t>
            </w:r>
          </w:p>
        </w:tc>
        <w:tc>
          <w:tcPr>
            <w:tcW w:w="1392" w:type="dxa"/>
            <w:tcBorders>
              <w:top w:val="nil"/>
              <w:left w:val="nil"/>
              <w:bottom w:val="single" w:sz="4" w:space="0" w:color="auto"/>
              <w:right w:val="single" w:sz="8" w:space="0" w:color="auto"/>
            </w:tcBorders>
            <w:shd w:val="clear" w:color="000000" w:fill="D9D9D9"/>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100.00%</w:t>
            </w:r>
          </w:p>
        </w:tc>
      </w:tr>
      <w:tr w:rsidR="004E20C8" w:rsidRPr="004C6EF6" w:rsidTr="00806574">
        <w:trPr>
          <w:trHeight w:val="300"/>
        </w:trPr>
        <w:tc>
          <w:tcPr>
            <w:tcW w:w="4490" w:type="dxa"/>
            <w:tcBorders>
              <w:top w:val="nil"/>
              <w:left w:val="single" w:sz="8" w:space="0" w:color="auto"/>
              <w:bottom w:val="single" w:sz="4" w:space="0" w:color="auto"/>
              <w:right w:val="single" w:sz="8" w:space="0" w:color="auto"/>
            </w:tcBorders>
            <w:shd w:val="clear" w:color="000000" w:fill="632523"/>
            <w:vAlign w:val="center"/>
            <w:hideMark/>
          </w:tcPr>
          <w:p w:rsidR="004E20C8" w:rsidRPr="004C6EF6" w:rsidRDefault="004E20C8" w:rsidP="00806574">
            <w:pPr>
              <w:rPr>
                <w:rFonts w:ascii="Calibri" w:eastAsia="Times New Roman" w:hAnsi="Calibri" w:cs="Calibri"/>
                <w:b/>
                <w:bCs/>
                <w:color w:val="BFBFBF"/>
                <w:sz w:val="20"/>
                <w:szCs w:val="20"/>
              </w:rPr>
            </w:pPr>
            <w:r w:rsidRPr="004C6EF6">
              <w:rPr>
                <w:rFonts w:ascii="Calibri" w:eastAsia="Times New Roman" w:hAnsi="Calibri" w:cs="Calibri"/>
                <w:b/>
                <w:bCs/>
                <w:color w:val="BFBFBF"/>
                <w:sz w:val="20"/>
                <w:szCs w:val="20"/>
              </w:rPr>
              <w:t>REFLECTION: CORRELATION TO STANDARD</w:t>
            </w:r>
          </w:p>
        </w:tc>
        <w:tc>
          <w:tcPr>
            <w:tcW w:w="759" w:type="dxa"/>
            <w:tcBorders>
              <w:top w:val="nil"/>
              <w:left w:val="nil"/>
              <w:bottom w:val="single" w:sz="4" w:space="0" w:color="auto"/>
              <w:right w:val="single" w:sz="4"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2</w:t>
            </w:r>
          </w:p>
        </w:tc>
        <w:tc>
          <w:tcPr>
            <w:tcW w:w="759" w:type="dxa"/>
            <w:tcBorders>
              <w:top w:val="nil"/>
              <w:left w:val="nil"/>
              <w:bottom w:val="single" w:sz="4" w:space="0" w:color="auto"/>
              <w:right w:val="single" w:sz="4"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2</w:t>
            </w:r>
          </w:p>
        </w:tc>
        <w:tc>
          <w:tcPr>
            <w:tcW w:w="759" w:type="dxa"/>
            <w:tcBorders>
              <w:top w:val="nil"/>
              <w:left w:val="nil"/>
              <w:bottom w:val="single" w:sz="4" w:space="0" w:color="auto"/>
              <w:right w:val="single" w:sz="4"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3</w:t>
            </w:r>
          </w:p>
        </w:tc>
        <w:tc>
          <w:tcPr>
            <w:tcW w:w="759" w:type="dxa"/>
            <w:tcBorders>
              <w:top w:val="nil"/>
              <w:left w:val="nil"/>
              <w:bottom w:val="single" w:sz="4" w:space="0" w:color="auto"/>
              <w:right w:val="single" w:sz="4"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2</w:t>
            </w:r>
          </w:p>
        </w:tc>
        <w:tc>
          <w:tcPr>
            <w:tcW w:w="759" w:type="dxa"/>
            <w:tcBorders>
              <w:top w:val="nil"/>
              <w:left w:val="nil"/>
              <w:bottom w:val="single" w:sz="4" w:space="0" w:color="auto"/>
              <w:right w:val="single" w:sz="8"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2</w:t>
            </w:r>
          </w:p>
        </w:tc>
        <w:tc>
          <w:tcPr>
            <w:tcW w:w="1392" w:type="dxa"/>
            <w:tcBorders>
              <w:top w:val="nil"/>
              <w:left w:val="nil"/>
              <w:bottom w:val="single" w:sz="4" w:space="0" w:color="auto"/>
              <w:right w:val="single" w:sz="8" w:space="0" w:color="auto"/>
            </w:tcBorders>
            <w:shd w:val="clear" w:color="000000" w:fill="D9D9D9"/>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60.00%</w:t>
            </w:r>
          </w:p>
        </w:tc>
      </w:tr>
      <w:tr w:rsidR="004E20C8" w:rsidRPr="004C6EF6" w:rsidTr="00806574">
        <w:trPr>
          <w:trHeight w:val="300"/>
        </w:trPr>
        <w:tc>
          <w:tcPr>
            <w:tcW w:w="4490" w:type="dxa"/>
            <w:tcBorders>
              <w:top w:val="nil"/>
              <w:left w:val="single" w:sz="8" w:space="0" w:color="auto"/>
              <w:bottom w:val="single" w:sz="4" w:space="0" w:color="auto"/>
              <w:right w:val="single" w:sz="8" w:space="0" w:color="auto"/>
            </w:tcBorders>
            <w:shd w:val="clear" w:color="000000" w:fill="632523"/>
            <w:vAlign w:val="center"/>
            <w:hideMark/>
          </w:tcPr>
          <w:p w:rsidR="004E20C8" w:rsidRPr="004C6EF6" w:rsidRDefault="004E20C8" w:rsidP="00806574">
            <w:pPr>
              <w:rPr>
                <w:rFonts w:ascii="Calibri" w:eastAsia="Times New Roman" w:hAnsi="Calibri" w:cs="Calibri"/>
                <w:b/>
                <w:bCs/>
                <w:color w:val="BFBFBF"/>
                <w:sz w:val="20"/>
                <w:szCs w:val="20"/>
              </w:rPr>
            </w:pPr>
            <w:r w:rsidRPr="004C6EF6">
              <w:rPr>
                <w:rFonts w:ascii="Calibri" w:eastAsia="Times New Roman" w:hAnsi="Calibri" w:cs="Calibri"/>
                <w:b/>
                <w:bCs/>
                <w:color w:val="BFBFBF"/>
                <w:sz w:val="20"/>
                <w:szCs w:val="20"/>
              </w:rPr>
              <w:t>REFLECTION: RELATIONSHIP TO FUTURE TEACHING</w:t>
            </w:r>
          </w:p>
        </w:tc>
        <w:tc>
          <w:tcPr>
            <w:tcW w:w="759" w:type="dxa"/>
            <w:tcBorders>
              <w:top w:val="nil"/>
              <w:left w:val="nil"/>
              <w:bottom w:val="single" w:sz="4" w:space="0" w:color="auto"/>
              <w:right w:val="single" w:sz="4"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2</w:t>
            </w:r>
          </w:p>
        </w:tc>
        <w:tc>
          <w:tcPr>
            <w:tcW w:w="759" w:type="dxa"/>
            <w:tcBorders>
              <w:top w:val="nil"/>
              <w:left w:val="nil"/>
              <w:bottom w:val="single" w:sz="4" w:space="0" w:color="auto"/>
              <w:right w:val="single" w:sz="4"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2</w:t>
            </w:r>
          </w:p>
        </w:tc>
        <w:tc>
          <w:tcPr>
            <w:tcW w:w="759" w:type="dxa"/>
            <w:tcBorders>
              <w:top w:val="nil"/>
              <w:left w:val="nil"/>
              <w:bottom w:val="single" w:sz="4" w:space="0" w:color="auto"/>
              <w:right w:val="single" w:sz="4"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2</w:t>
            </w:r>
          </w:p>
        </w:tc>
        <w:tc>
          <w:tcPr>
            <w:tcW w:w="759" w:type="dxa"/>
            <w:tcBorders>
              <w:top w:val="nil"/>
              <w:left w:val="nil"/>
              <w:bottom w:val="single" w:sz="4" w:space="0" w:color="auto"/>
              <w:right w:val="single" w:sz="4"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2</w:t>
            </w:r>
          </w:p>
        </w:tc>
        <w:tc>
          <w:tcPr>
            <w:tcW w:w="759" w:type="dxa"/>
            <w:tcBorders>
              <w:top w:val="nil"/>
              <w:left w:val="nil"/>
              <w:bottom w:val="single" w:sz="4" w:space="0" w:color="auto"/>
              <w:right w:val="single" w:sz="8"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2</w:t>
            </w:r>
          </w:p>
        </w:tc>
        <w:tc>
          <w:tcPr>
            <w:tcW w:w="1392" w:type="dxa"/>
            <w:tcBorders>
              <w:top w:val="nil"/>
              <w:left w:val="nil"/>
              <w:bottom w:val="single" w:sz="4" w:space="0" w:color="auto"/>
              <w:right w:val="single" w:sz="8" w:space="0" w:color="auto"/>
            </w:tcBorders>
            <w:shd w:val="clear" w:color="000000" w:fill="D9D9D9"/>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100.00%</w:t>
            </w:r>
          </w:p>
        </w:tc>
      </w:tr>
      <w:tr w:rsidR="004E20C8" w:rsidRPr="004C6EF6" w:rsidTr="00806574">
        <w:trPr>
          <w:trHeight w:val="300"/>
        </w:trPr>
        <w:tc>
          <w:tcPr>
            <w:tcW w:w="4490" w:type="dxa"/>
            <w:tcBorders>
              <w:top w:val="nil"/>
              <w:left w:val="single" w:sz="8" w:space="0" w:color="auto"/>
              <w:bottom w:val="single" w:sz="4" w:space="0" w:color="auto"/>
              <w:right w:val="single" w:sz="8" w:space="0" w:color="auto"/>
            </w:tcBorders>
            <w:shd w:val="clear" w:color="000000" w:fill="632523"/>
            <w:vAlign w:val="center"/>
            <w:hideMark/>
          </w:tcPr>
          <w:p w:rsidR="004E20C8" w:rsidRPr="004C6EF6" w:rsidRDefault="004E20C8" w:rsidP="00806574">
            <w:pPr>
              <w:rPr>
                <w:rFonts w:ascii="Calibri" w:eastAsia="Times New Roman" w:hAnsi="Calibri" w:cs="Calibri"/>
                <w:b/>
                <w:bCs/>
                <w:color w:val="BFBFBF"/>
                <w:sz w:val="20"/>
                <w:szCs w:val="20"/>
              </w:rPr>
            </w:pPr>
            <w:r w:rsidRPr="004C6EF6">
              <w:rPr>
                <w:rFonts w:ascii="Calibri" w:eastAsia="Times New Roman" w:hAnsi="Calibri" w:cs="Calibri"/>
                <w:b/>
                <w:bCs/>
                <w:color w:val="BFBFBF"/>
                <w:sz w:val="20"/>
                <w:szCs w:val="20"/>
              </w:rPr>
              <w:t>RESPONSE TO FEEDBACK</w:t>
            </w:r>
          </w:p>
        </w:tc>
        <w:tc>
          <w:tcPr>
            <w:tcW w:w="759" w:type="dxa"/>
            <w:tcBorders>
              <w:top w:val="nil"/>
              <w:left w:val="nil"/>
              <w:bottom w:val="single" w:sz="4" w:space="0" w:color="auto"/>
              <w:right w:val="single" w:sz="4"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3</w:t>
            </w:r>
          </w:p>
        </w:tc>
        <w:tc>
          <w:tcPr>
            <w:tcW w:w="759" w:type="dxa"/>
            <w:tcBorders>
              <w:top w:val="nil"/>
              <w:left w:val="nil"/>
              <w:bottom w:val="single" w:sz="4" w:space="0" w:color="auto"/>
              <w:right w:val="single" w:sz="4"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2</w:t>
            </w:r>
          </w:p>
        </w:tc>
        <w:tc>
          <w:tcPr>
            <w:tcW w:w="759" w:type="dxa"/>
            <w:tcBorders>
              <w:top w:val="nil"/>
              <w:left w:val="nil"/>
              <w:bottom w:val="single" w:sz="4" w:space="0" w:color="auto"/>
              <w:right w:val="single" w:sz="4"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3</w:t>
            </w:r>
          </w:p>
        </w:tc>
        <w:tc>
          <w:tcPr>
            <w:tcW w:w="759" w:type="dxa"/>
            <w:tcBorders>
              <w:top w:val="nil"/>
              <w:left w:val="nil"/>
              <w:bottom w:val="single" w:sz="4" w:space="0" w:color="auto"/>
              <w:right w:val="single" w:sz="4"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3</w:t>
            </w:r>
          </w:p>
        </w:tc>
        <w:tc>
          <w:tcPr>
            <w:tcW w:w="759" w:type="dxa"/>
            <w:tcBorders>
              <w:top w:val="nil"/>
              <w:left w:val="nil"/>
              <w:bottom w:val="single" w:sz="4" w:space="0" w:color="auto"/>
              <w:right w:val="single" w:sz="8"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2</w:t>
            </w:r>
          </w:p>
        </w:tc>
        <w:tc>
          <w:tcPr>
            <w:tcW w:w="1392" w:type="dxa"/>
            <w:tcBorders>
              <w:top w:val="nil"/>
              <w:left w:val="nil"/>
              <w:bottom w:val="single" w:sz="4" w:space="0" w:color="auto"/>
              <w:right w:val="single" w:sz="8" w:space="0" w:color="auto"/>
            </w:tcBorders>
            <w:shd w:val="clear" w:color="000000" w:fill="D9D9D9"/>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40.00%</w:t>
            </w:r>
          </w:p>
        </w:tc>
      </w:tr>
      <w:tr w:rsidR="004E20C8" w:rsidRPr="004C6EF6" w:rsidTr="00806574">
        <w:trPr>
          <w:trHeight w:val="300"/>
        </w:trPr>
        <w:tc>
          <w:tcPr>
            <w:tcW w:w="4490" w:type="dxa"/>
            <w:tcBorders>
              <w:top w:val="nil"/>
              <w:left w:val="single" w:sz="8" w:space="0" w:color="auto"/>
              <w:bottom w:val="nil"/>
              <w:right w:val="single" w:sz="8" w:space="0" w:color="auto"/>
            </w:tcBorders>
            <w:shd w:val="clear" w:color="000000" w:fill="632523"/>
            <w:vAlign w:val="center"/>
            <w:hideMark/>
          </w:tcPr>
          <w:p w:rsidR="004E20C8" w:rsidRPr="004C6EF6" w:rsidRDefault="004E20C8" w:rsidP="00806574">
            <w:pPr>
              <w:rPr>
                <w:rFonts w:ascii="Calibri" w:eastAsia="Times New Roman" w:hAnsi="Calibri" w:cs="Calibri"/>
                <w:b/>
                <w:bCs/>
                <w:color w:val="BFBFBF"/>
                <w:sz w:val="20"/>
                <w:szCs w:val="20"/>
              </w:rPr>
            </w:pPr>
            <w:r w:rsidRPr="004C6EF6">
              <w:rPr>
                <w:rFonts w:ascii="Calibri" w:eastAsia="Times New Roman" w:hAnsi="Calibri" w:cs="Calibri"/>
                <w:b/>
                <w:bCs/>
                <w:color w:val="BFBFBF"/>
                <w:sz w:val="20"/>
                <w:szCs w:val="20"/>
              </w:rPr>
              <w:t>VOLUNTEER HOURS</w:t>
            </w:r>
          </w:p>
        </w:tc>
        <w:tc>
          <w:tcPr>
            <w:tcW w:w="759" w:type="dxa"/>
            <w:tcBorders>
              <w:top w:val="nil"/>
              <w:left w:val="nil"/>
              <w:bottom w:val="nil"/>
              <w:right w:val="single" w:sz="4"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3</w:t>
            </w:r>
          </w:p>
        </w:tc>
        <w:tc>
          <w:tcPr>
            <w:tcW w:w="759" w:type="dxa"/>
            <w:tcBorders>
              <w:top w:val="nil"/>
              <w:left w:val="nil"/>
              <w:bottom w:val="nil"/>
              <w:right w:val="single" w:sz="4"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3</w:t>
            </w:r>
          </w:p>
        </w:tc>
        <w:tc>
          <w:tcPr>
            <w:tcW w:w="759" w:type="dxa"/>
            <w:tcBorders>
              <w:top w:val="nil"/>
              <w:left w:val="nil"/>
              <w:bottom w:val="nil"/>
              <w:right w:val="single" w:sz="4"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3</w:t>
            </w:r>
          </w:p>
        </w:tc>
        <w:tc>
          <w:tcPr>
            <w:tcW w:w="759" w:type="dxa"/>
            <w:tcBorders>
              <w:top w:val="nil"/>
              <w:left w:val="nil"/>
              <w:bottom w:val="nil"/>
              <w:right w:val="single" w:sz="4"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2</w:t>
            </w:r>
          </w:p>
        </w:tc>
        <w:tc>
          <w:tcPr>
            <w:tcW w:w="759" w:type="dxa"/>
            <w:tcBorders>
              <w:top w:val="nil"/>
              <w:left w:val="nil"/>
              <w:bottom w:val="nil"/>
              <w:right w:val="single" w:sz="8" w:space="0" w:color="auto"/>
            </w:tcBorders>
            <w:shd w:val="clear" w:color="auto" w:fill="auto"/>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3</w:t>
            </w:r>
          </w:p>
        </w:tc>
        <w:tc>
          <w:tcPr>
            <w:tcW w:w="1392" w:type="dxa"/>
            <w:tcBorders>
              <w:top w:val="nil"/>
              <w:left w:val="nil"/>
              <w:bottom w:val="single" w:sz="4" w:space="0" w:color="auto"/>
              <w:right w:val="single" w:sz="8" w:space="0" w:color="auto"/>
            </w:tcBorders>
            <w:shd w:val="clear" w:color="000000" w:fill="D9D9D9"/>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70.00%</w:t>
            </w:r>
          </w:p>
        </w:tc>
      </w:tr>
      <w:tr w:rsidR="004E20C8" w:rsidRPr="004C6EF6" w:rsidTr="00806574">
        <w:trPr>
          <w:trHeight w:val="300"/>
        </w:trPr>
        <w:tc>
          <w:tcPr>
            <w:tcW w:w="4490" w:type="dxa"/>
            <w:tcBorders>
              <w:top w:val="single" w:sz="8" w:space="0" w:color="auto"/>
              <w:left w:val="single" w:sz="8" w:space="0" w:color="auto"/>
              <w:bottom w:val="single" w:sz="4" w:space="0" w:color="auto"/>
              <w:right w:val="single" w:sz="8" w:space="0" w:color="auto"/>
            </w:tcBorders>
            <w:shd w:val="clear" w:color="000000" w:fill="A6A6A6"/>
            <w:vAlign w:val="center"/>
            <w:hideMark/>
          </w:tcPr>
          <w:p w:rsidR="004E20C8" w:rsidRPr="004C6EF6" w:rsidRDefault="004E20C8" w:rsidP="00806574">
            <w:pPr>
              <w:rPr>
                <w:rFonts w:ascii="Calibri" w:eastAsia="Times New Roman" w:hAnsi="Calibri" w:cs="Calibri"/>
                <w:b/>
                <w:bCs/>
                <w:sz w:val="20"/>
                <w:szCs w:val="20"/>
              </w:rPr>
            </w:pPr>
            <w:r w:rsidRPr="004C6EF6">
              <w:rPr>
                <w:rFonts w:ascii="Calibri" w:eastAsia="Times New Roman" w:hAnsi="Calibri" w:cs="Calibri"/>
                <w:b/>
                <w:bCs/>
                <w:sz w:val="20"/>
                <w:szCs w:val="20"/>
              </w:rPr>
              <w:t>TOTAL SCORE</w:t>
            </w:r>
          </w:p>
        </w:tc>
        <w:tc>
          <w:tcPr>
            <w:tcW w:w="759" w:type="dxa"/>
            <w:tcBorders>
              <w:top w:val="single" w:sz="8" w:space="0" w:color="auto"/>
              <w:left w:val="nil"/>
              <w:bottom w:val="single" w:sz="4" w:space="0" w:color="auto"/>
              <w:right w:val="single" w:sz="4" w:space="0" w:color="auto"/>
            </w:tcBorders>
            <w:shd w:val="clear" w:color="000000" w:fill="D9D9D9"/>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19</w:t>
            </w:r>
          </w:p>
        </w:tc>
        <w:tc>
          <w:tcPr>
            <w:tcW w:w="759" w:type="dxa"/>
            <w:tcBorders>
              <w:top w:val="single" w:sz="8" w:space="0" w:color="auto"/>
              <w:left w:val="nil"/>
              <w:bottom w:val="single" w:sz="4" w:space="0" w:color="auto"/>
              <w:right w:val="single" w:sz="4" w:space="0" w:color="auto"/>
            </w:tcBorders>
            <w:shd w:val="clear" w:color="000000" w:fill="D9D9D9"/>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18</w:t>
            </w:r>
          </w:p>
        </w:tc>
        <w:tc>
          <w:tcPr>
            <w:tcW w:w="759" w:type="dxa"/>
            <w:tcBorders>
              <w:top w:val="single" w:sz="8" w:space="0" w:color="auto"/>
              <w:left w:val="nil"/>
              <w:bottom w:val="single" w:sz="4" w:space="0" w:color="auto"/>
              <w:right w:val="single" w:sz="4" w:space="0" w:color="auto"/>
            </w:tcBorders>
            <w:shd w:val="clear" w:color="000000" w:fill="D9D9D9"/>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19</w:t>
            </w:r>
          </w:p>
        </w:tc>
        <w:tc>
          <w:tcPr>
            <w:tcW w:w="759" w:type="dxa"/>
            <w:tcBorders>
              <w:top w:val="single" w:sz="8" w:space="0" w:color="auto"/>
              <w:left w:val="nil"/>
              <w:bottom w:val="single" w:sz="4" w:space="0" w:color="auto"/>
              <w:right w:val="single" w:sz="4" w:space="0" w:color="auto"/>
            </w:tcBorders>
            <w:shd w:val="clear" w:color="000000" w:fill="D9D9D9"/>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18</w:t>
            </w:r>
          </w:p>
        </w:tc>
        <w:tc>
          <w:tcPr>
            <w:tcW w:w="759" w:type="dxa"/>
            <w:tcBorders>
              <w:top w:val="single" w:sz="8" w:space="0" w:color="auto"/>
              <w:left w:val="nil"/>
              <w:bottom w:val="single" w:sz="4" w:space="0" w:color="auto"/>
              <w:right w:val="single" w:sz="8" w:space="0" w:color="auto"/>
            </w:tcBorders>
            <w:shd w:val="clear" w:color="000000" w:fill="D9D9D9"/>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18</w:t>
            </w:r>
          </w:p>
        </w:tc>
        <w:tc>
          <w:tcPr>
            <w:tcW w:w="1392" w:type="dxa"/>
            <w:tcBorders>
              <w:top w:val="nil"/>
              <w:left w:val="nil"/>
              <w:bottom w:val="single" w:sz="4" w:space="0" w:color="auto"/>
              <w:right w:val="single" w:sz="8" w:space="0" w:color="auto"/>
            </w:tcBorders>
            <w:shd w:val="clear" w:color="000000" w:fill="000000"/>
            <w:noWrap/>
            <w:vAlign w:val="center"/>
            <w:hideMark/>
          </w:tcPr>
          <w:p w:rsidR="004E20C8" w:rsidRPr="004C6EF6" w:rsidRDefault="004E20C8" w:rsidP="00806574">
            <w:pPr>
              <w:rPr>
                <w:rFonts w:ascii="Calibri" w:eastAsia="Times New Roman" w:hAnsi="Calibri" w:cs="Calibri"/>
                <w:color w:val="000000"/>
                <w:sz w:val="20"/>
                <w:szCs w:val="20"/>
              </w:rPr>
            </w:pPr>
            <w:r w:rsidRPr="004C6EF6">
              <w:rPr>
                <w:rFonts w:ascii="Calibri" w:eastAsia="Times New Roman" w:hAnsi="Calibri" w:cs="Calibri"/>
                <w:color w:val="000000"/>
                <w:sz w:val="20"/>
                <w:szCs w:val="20"/>
              </w:rPr>
              <w:t> </w:t>
            </w:r>
          </w:p>
        </w:tc>
      </w:tr>
      <w:tr w:rsidR="004E20C8" w:rsidRPr="004C6EF6" w:rsidTr="00806574">
        <w:trPr>
          <w:trHeight w:val="300"/>
        </w:trPr>
        <w:tc>
          <w:tcPr>
            <w:tcW w:w="4490" w:type="dxa"/>
            <w:tcBorders>
              <w:top w:val="nil"/>
              <w:left w:val="single" w:sz="8" w:space="0" w:color="auto"/>
              <w:bottom w:val="single" w:sz="8" w:space="0" w:color="auto"/>
              <w:right w:val="single" w:sz="8" w:space="0" w:color="auto"/>
            </w:tcBorders>
            <w:shd w:val="clear" w:color="000000" w:fill="A6A6A6"/>
            <w:vAlign w:val="center"/>
            <w:hideMark/>
          </w:tcPr>
          <w:p w:rsidR="004E20C8" w:rsidRPr="004C6EF6" w:rsidRDefault="004E20C8" w:rsidP="00806574">
            <w:pPr>
              <w:rPr>
                <w:rFonts w:ascii="Calibri" w:eastAsia="Times New Roman" w:hAnsi="Calibri" w:cs="Calibri"/>
                <w:b/>
                <w:bCs/>
                <w:sz w:val="20"/>
                <w:szCs w:val="20"/>
              </w:rPr>
            </w:pPr>
            <w:r w:rsidRPr="004C6EF6">
              <w:rPr>
                <w:rFonts w:ascii="Calibri" w:eastAsia="Times New Roman" w:hAnsi="Calibri" w:cs="Calibri"/>
                <w:b/>
                <w:bCs/>
                <w:sz w:val="20"/>
                <w:szCs w:val="20"/>
              </w:rPr>
              <w:t>AVG SCORE</w:t>
            </w:r>
          </w:p>
        </w:tc>
        <w:tc>
          <w:tcPr>
            <w:tcW w:w="759" w:type="dxa"/>
            <w:tcBorders>
              <w:top w:val="nil"/>
              <w:left w:val="nil"/>
              <w:bottom w:val="single" w:sz="8" w:space="0" w:color="auto"/>
              <w:right w:val="single" w:sz="4" w:space="0" w:color="auto"/>
            </w:tcBorders>
            <w:shd w:val="clear" w:color="000000" w:fill="D9D9D9"/>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2.375</w:t>
            </w:r>
          </w:p>
        </w:tc>
        <w:tc>
          <w:tcPr>
            <w:tcW w:w="759" w:type="dxa"/>
            <w:tcBorders>
              <w:top w:val="nil"/>
              <w:left w:val="nil"/>
              <w:bottom w:val="single" w:sz="8" w:space="0" w:color="auto"/>
              <w:right w:val="single" w:sz="4" w:space="0" w:color="auto"/>
            </w:tcBorders>
            <w:shd w:val="clear" w:color="000000" w:fill="D9D9D9"/>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2.25</w:t>
            </w:r>
          </w:p>
        </w:tc>
        <w:tc>
          <w:tcPr>
            <w:tcW w:w="759" w:type="dxa"/>
            <w:tcBorders>
              <w:top w:val="nil"/>
              <w:left w:val="nil"/>
              <w:bottom w:val="single" w:sz="8" w:space="0" w:color="auto"/>
              <w:right w:val="single" w:sz="4" w:space="0" w:color="auto"/>
            </w:tcBorders>
            <w:shd w:val="clear" w:color="000000" w:fill="D9D9D9"/>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2.375</w:t>
            </w:r>
          </w:p>
        </w:tc>
        <w:tc>
          <w:tcPr>
            <w:tcW w:w="759" w:type="dxa"/>
            <w:tcBorders>
              <w:top w:val="nil"/>
              <w:left w:val="nil"/>
              <w:bottom w:val="single" w:sz="8" w:space="0" w:color="auto"/>
              <w:right w:val="single" w:sz="4" w:space="0" w:color="auto"/>
            </w:tcBorders>
            <w:shd w:val="clear" w:color="000000" w:fill="D9D9D9"/>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2.25</w:t>
            </w:r>
          </w:p>
        </w:tc>
        <w:tc>
          <w:tcPr>
            <w:tcW w:w="759" w:type="dxa"/>
            <w:tcBorders>
              <w:top w:val="nil"/>
              <w:left w:val="nil"/>
              <w:bottom w:val="single" w:sz="8" w:space="0" w:color="auto"/>
              <w:right w:val="single" w:sz="8" w:space="0" w:color="auto"/>
            </w:tcBorders>
            <w:shd w:val="clear" w:color="000000" w:fill="D9D9D9"/>
            <w:noWrap/>
            <w:vAlign w:val="center"/>
            <w:hideMark/>
          </w:tcPr>
          <w:p w:rsidR="004E20C8" w:rsidRPr="004C6EF6" w:rsidRDefault="004E20C8" w:rsidP="00806574">
            <w:pPr>
              <w:jc w:val="center"/>
              <w:rPr>
                <w:rFonts w:ascii="Calibri" w:eastAsia="Times New Roman" w:hAnsi="Calibri" w:cs="Calibri"/>
                <w:color w:val="000000"/>
                <w:sz w:val="20"/>
                <w:szCs w:val="20"/>
              </w:rPr>
            </w:pPr>
            <w:r w:rsidRPr="004C6EF6">
              <w:rPr>
                <w:rFonts w:ascii="Calibri" w:eastAsia="Times New Roman" w:hAnsi="Calibri" w:cs="Calibri"/>
                <w:color w:val="000000"/>
                <w:sz w:val="20"/>
                <w:szCs w:val="20"/>
              </w:rPr>
              <w:t>2.25</w:t>
            </w:r>
          </w:p>
        </w:tc>
        <w:tc>
          <w:tcPr>
            <w:tcW w:w="1392" w:type="dxa"/>
            <w:tcBorders>
              <w:top w:val="nil"/>
              <w:left w:val="nil"/>
              <w:bottom w:val="single" w:sz="8" w:space="0" w:color="auto"/>
              <w:right w:val="single" w:sz="8" w:space="0" w:color="auto"/>
            </w:tcBorders>
            <w:shd w:val="clear" w:color="000000" w:fill="FFFF00"/>
            <w:noWrap/>
            <w:vAlign w:val="center"/>
            <w:hideMark/>
          </w:tcPr>
          <w:p w:rsidR="004E20C8" w:rsidRPr="004C6EF6" w:rsidRDefault="004E20C8" w:rsidP="00806574">
            <w:pPr>
              <w:jc w:val="center"/>
              <w:rPr>
                <w:rFonts w:ascii="Calibri" w:eastAsia="Times New Roman" w:hAnsi="Calibri" w:cs="Calibri"/>
                <w:b/>
                <w:bCs/>
                <w:color w:val="FF0000"/>
                <w:sz w:val="24"/>
                <w:szCs w:val="24"/>
              </w:rPr>
            </w:pPr>
            <w:r w:rsidRPr="004C6EF6">
              <w:rPr>
                <w:rFonts w:ascii="Calibri" w:eastAsia="Times New Roman" w:hAnsi="Calibri" w:cs="Calibri"/>
                <w:b/>
                <w:bCs/>
                <w:color w:val="FF0000"/>
                <w:sz w:val="24"/>
                <w:szCs w:val="24"/>
              </w:rPr>
              <w:t>78.75%</w:t>
            </w:r>
          </w:p>
        </w:tc>
      </w:tr>
    </w:tbl>
    <w:p w:rsidR="00367329" w:rsidRDefault="00367329" w:rsidP="00412AC4">
      <w:pPr>
        <w:rPr>
          <w:rFonts w:ascii="Times New Roman" w:hAnsi="Times New Roman" w:cs="Times New Roman"/>
          <w:sz w:val="24"/>
          <w:szCs w:val="24"/>
        </w:rPr>
      </w:pPr>
    </w:p>
    <w:p w:rsidR="00412AC4" w:rsidRDefault="00412AC4" w:rsidP="000058AD">
      <w:pPr>
        <w:rPr>
          <w:rFonts w:ascii="Times New Roman" w:hAnsi="Times New Roman" w:cs="Times New Roman"/>
          <w:sz w:val="24"/>
          <w:szCs w:val="24"/>
        </w:rPr>
      </w:pPr>
      <w:bookmarkStart w:id="0" w:name="_GoBack"/>
      <w:bookmarkEnd w:id="0"/>
    </w:p>
    <w:p w:rsidR="000932B1" w:rsidRDefault="0000293B" w:rsidP="000058AD">
      <w:pPr>
        <w:rPr>
          <w:rFonts w:ascii="Times New Roman" w:hAnsi="Times New Roman" w:cs="Times New Roman"/>
          <w:sz w:val="24"/>
          <w:szCs w:val="24"/>
          <w:u w:val="single"/>
        </w:rPr>
      </w:pPr>
      <w:r>
        <w:rPr>
          <w:rFonts w:ascii="Times New Roman" w:hAnsi="Times New Roman" w:cs="Times New Roman"/>
          <w:sz w:val="24"/>
          <w:szCs w:val="24"/>
          <w:u w:val="single"/>
        </w:rPr>
        <w:lastRenderedPageBreak/>
        <w:t>West Virginia Teacher Performance Assessment (WVTPA):</w:t>
      </w:r>
    </w:p>
    <w:p w:rsidR="007E0BD9" w:rsidRDefault="0000293B" w:rsidP="000058AD">
      <w:pPr>
        <w:rPr>
          <w:rFonts w:ascii="Times New Roman" w:hAnsi="Times New Roman" w:cs="Times New Roman"/>
          <w:sz w:val="24"/>
          <w:szCs w:val="24"/>
        </w:rPr>
      </w:pPr>
      <w:r>
        <w:rPr>
          <w:rFonts w:ascii="Times New Roman" w:hAnsi="Times New Roman" w:cs="Times New Roman"/>
          <w:sz w:val="24"/>
          <w:szCs w:val="24"/>
        </w:rPr>
        <w:t xml:space="preserve">Since the development of the WVTPA, each </w:t>
      </w:r>
      <w:r w:rsidR="007E0BD9">
        <w:rPr>
          <w:rFonts w:ascii="Times New Roman" w:hAnsi="Times New Roman" w:cs="Times New Roman"/>
          <w:sz w:val="24"/>
          <w:szCs w:val="24"/>
        </w:rPr>
        <w:t xml:space="preserve">IHE that participates is required to provide training to reviewers in assessing the WVTPA. For each version of the WVTPA that has been issued (we are now at 4.0), the EPP has conducted inter-rater reliability training.  A sample WVTPA from a previous semester is used, and each EPP faculty participant scores the WVTPA using the current rubric.  Prior to the review, the group discussed the tasks, the prompts for each task, and the rubric indicators for each prompt.  Following the individual ratings, participants shared scores and discussed why the score was chosen. </w:t>
      </w:r>
      <w:proofErr w:type="spellStart"/>
      <w:r w:rsidR="007E0BD9">
        <w:rPr>
          <w:rFonts w:ascii="Times New Roman" w:hAnsi="Times New Roman" w:cs="Times New Roman"/>
          <w:sz w:val="24"/>
          <w:szCs w:val="24"/>
        </w:rPr>
        <w:t>Plickers</w:t>
      </w:r>
      <w:proofErr w:type="spellEnd"/>
      <w:r w:rsidR="007E0BD9">
        <w:rPr>
          <w:rFonts w:ascii="Times New Roman" w:hAnsi="Times New Roman" w:cs="Times New Roman"/>
          <w:sz w:val="24"/>
          <w:szCs w:val="24"/>
        </w:rPr>
        <w:t xml:space="preserve"> were used to tabulate the responses and the inter-rater reliability was established.</w:t>
      </w:r>
    </w:p>
    <w:p w:rsidR="00EC1222" w:rsidRDefault="00EC1222" w:rsidP="000058AD">
      <w:pPr>
        <w:rPr>
          <w:rFonts w:ascii="Times New Roman" w:hAnsi="Times New Roman" w:cs="Times New Roman"/>
          <w:sz w:val="24"/>
          <w:szCs w:val="24"/>
        </w:rPr>
      </w:pPr>
    </w:p>
    <w:p w:rsidR="00EC1222" w:rsidRPr="00EC1222" w:rsidRDefault="00EC1222" w:rsidP="000058AD">
      <w:pPr>
        <w:rPr>
          <w:rFonts w:ascii="Times New Roman" w:hAnsi="Times New Roman" w:cs="Times New Roman"/>
          <w:b/>
          <w:sz w:val="24"/>
          <w:szCs w:val="24"/>
        </w:rPr>
      </w:pPr>
      <w:r w:rsidRPr="00EC1222">
        <w:rPr>
          <w:rFonts w:ascii="Times New Roman" w:hAnsi="Times New Roman" w:cs="Times New Roman"/>
          <w:b/>
          <w:sz w:val="24"/>
          <w:szCs w:val="24"/>
        </w:rPr>
        <w:t>A Process for Validity and Reliability</w:t>
      </w:r>
    </w:p>
    <w:p w:rsidR="007E0BD9" w:rsidRDefault="007E0BD9" w:rsidP="000058AD">
      <w:pPr>
        <w:rPr>
          <w:rFonts w:ascii="Times New Roman" w:hAnsi="Times New Roman" w:cs="Times New Roman"/>
          <w:sz w:val="24"/>
          <w:szCs w:val="24"/>
        </w:rPr>
      </w:pPr>
    </w:p>
    <w:p w:rsidR="00EC1222" w:rsidRDefault="007E0BD9" w:rsidP="00EC1222">
      <w:pPr>
        <w:rPr>
          <w:rFonts w:ascii="Times New Roman" w:hAnsi="Times New Roman" w:cs="Times New Roman"/>
          <w:sz w:val="24"/>
          <w:szCs w:val="24"/>
        </w:rPr>
      </w:pPr>
      <w:r>
        <w:rPr>
          <w:rFonts w:ascii="Times New Roman" w:hAnsi="Times New Roman" w:cs="Times New Roman"/>
          <w:sz w:val="24"/>
          <w:szCs w:val="24"/>
        </w:rPr>
        <w:t xml:space="preserve"> </w:t>
      </w:r>
      <w:r w:rsidR="00EC1222">
        <w:rPr>
          <w:rFonts w:ascii="Times New Roman" w:hAnsi="Times New Roman" w:cs="Times New Roman"/>
          <w:sz w:val="24"/>
          <w:szCs w:val="24"/>
        </w:rPr>
        <w:t xml:space="preserve">The EPP has developed a Quality Assurance System that will allow all data to be collected, aggregated and disaggregated, disseminated, and analyzed for improving the teacher education program and for monitoring candidate performance. The process will involve a pilot semester of the assessment. </w:t>
      </w:r>
      <w:r w:rsidR="00EC1222" w:rsidRPr="00367329">
        <w:rPr>
          <w:rFonts w:ascii="Times New Roman" w:hAnsi="Times New Roman" w:cs="Times New Roman"/>
          <w:sz w:val="24"/>
          <w:szCs w:val="24"/>
        </w:rPr>
        <w:t>At the end of the p</w:t>
      </w:r>
      <w:r w:rsidR="00EC1222">
        <w:rPr>
          <w:rFonts w:ascii="Times New Roman" w:hAnsi="Times New Roman" w:cs="Times New Roman"/>
          <w:sz w:val="24"/>
          <w:szCs w:val="24"/>
        </w:rPr>
        <w:t>ilot, the expert group will</w:t>
      </w:r>
      <w:r w:rsidR="00EC1222" w:rsidRPr="00367329">
        <w:rPr>
          <w:rFonts w:ascii="Times New Roman" w:hAnsi="Times New Roman" w:cs="Times New Roman"/>
          <w:sz w:val="24"/>
          <w:szCs w:val="24"/>
        </w:rPr>
        <w:t xml:space="preserve"> </w:t>
      </w:r>
      <w:r w:rsidR="00EC1222">
        <w:rPr>
          <w:rFonts w:ascii="Times New Roman" w:hAnsi="Times New Roman" w:cs="Times New Roman"/>
          <w:sz w:val="24"/>
          <w:szCs w:val="24"/>
        </w:rPr>
        <w:t xml:space="preserve">review the assessment and make </w:t>
      </w:r>
      <w:r w:rsidR="00EC1222" w:rsidRPr="00367329">
        <w:rPr>
          <w:rFonts w:ascii="Times New Roman" w:hAnsi="Times New Roman" w:cs="Times New Roman"/>
          <w:sz w:val="24"/>
          <w:szCs w:val="24"/>
        </w:rPr>
        <w:t>any ne</w:t>
      </w:r>
      <w:r w:rsidR="00EC1222">
        <w:rPr>
          <w:rFonts w:ascii="Times New Roman" w:hAnsi="Times New Roman" w:cs="Times New Roman"/>
          <w:sz w:val="24"/>
          <w:szCs w:val="24"/>
        </w:rPr>
        <w:t>cessary changes. The i</w:t>
      </w:r>
      <w:r w:rsidR="00EC1222" w:rsidRPr="00367329">
        <w:rPr>
          <w:rFonts w:ascii="Times New Roman" w:hAnsi="Times New Roman" w:cs="Times New Roman"/>
          <w:sz w:val="24"/>
          <w:szCs w:val="24"/>
        </w:rPr>
        <w:t>nstrument will then f</w:t>
      </w:r>
      <w:r w:rsidR="00EC1222">
        <w:rPr>
          <w:rFonts w:ascii="Times New Roman" w:hAnsi="Times New Roman" w:cs="Times New Roman"/>
          <w:sz w:val="24"/>
          <w:szCs w:val="24"/>
        </w:rPr>
        <w:t xml:space="preserve">all into the 3-year cycle of EPP assessments and be revisited </w:t>
      </w:r>
      <w:r w:rsidR="00EC1222" w:rsidRPr="00367329">
        <w:rPr>
          <w:rFonts w:ascii="Times New Roman" w:hAnsi="Times New Roman" w:cs="Times New Roman"/>
          <w:sz w:val="24"/>
          <w:szCs w:val="24"/>
        </w:rPr>
        <w:t>when the cycle comes around again</w:t>
      </w:r>
      <w:r w:rsidR="00EC1222">
        <w:rPr>
          <w:rFonts w:ascii="Times New Roman" w:hAnsi="Times New Roman" w:cs="Times New Roman"/>
          <w:sz w:val="24"/>
          <w:szCs w:val="24"/>
        </w:rPr>
        <w:t>.</w:t>
      </w:r>
    </w:p>
    <w:p w:rsidR="00EC1222" w:rsidRDefault="00EC1222" w:rsidP="00EC1222">
      <w:pPr>
        <w:rPr>
          <w:rFonts w:ascii="Times New Roman" w:hAnsi="Times New Roman" w:cs="Times New Roman"/>
          <w:sz w:val="24"/>
          <w:szCs w:val="24"/>
        </w:rPr>
      </w:pPr>
    </w:p>
    <w:p w:rsidR="00EC1222" w:rsidRDefault="005340EA" w:rsidP="00EC1222">
      <w:pPr>
        <w:rPr>
          <w:rFonts w:ascii="Times New Roman" w:hAnsi="Times New Roman" w:cs="Times New Roman"/>
          <w:sz w:val="24"/>
          <w:szCs w:val="24"/>
          <w:u w:val="single"/>
        </w:rPr>
      </w:pPr>
      <w:r>
        <w:rPr>
          <w:rFonts w:ascii="Times New Roman" w:hAnsi="Times New Roman" w:cs="Times New Roman"/>
          <w:sz w:val="24"/>
          <w:szCs w:val="24"/>
        </w:rPr>
        <w:t xml:space="preserve">2019-20 </w:t>
      </w:r>
      <w:r w:rsidR="00EC1222" w:rsidRPr="00EC1222">
        <w:rPr>
          <w:rFonts w:ascii="Times New Roman" w:hAnsi="Times New Roman" w:cs="Times New Roman"/>
          <w:sz w:val="24"/>
          <w:szCs w:val="24"/>
          <w:u w:val="single"/>
        </w:rPr>
        <w:t>Assessment Review Cycle</w:t>
      </w:r>
      <w:r w:rsidR="00EC1222">
        <w:rPr>
          <w:rFonts w:ascii="Times New Roman" w:hAnsi="Times New Roman" w:cs="Times New Roman"/>
          <w:sz w:val="24"/>
          <w:szCs w:val="24"/>
          <w:u w:val="single"/>
        </w:rPr>
        <w:t xml:space="preserve"> to Establish Validity and Reliability:</w:t>
      </w:r>
    </w:p>
    <w:p w:rsidR="00EC1222" w:rsidRDefault="00EC1222" w:rsidP="00EC1222">
      <w:pPr>
        <w:rPr>
          <w:rFonts w:ascii="Times New Roman" w:hAnsi="Times New Roman" w:cs="Times New Roman"/>
          <w:sz w:val="24"/>
          <w:szCs w:val="24"/>
          <w:u w:val="single"/>
        </w:rPr>
      </w:pPr>
    </w:p>
    <w:p w:rsidR="00EC1222" w:rsidRPr="005340EA" w:rsidRDefault="00EC1222" w:rsidP="00EC1222">
      <w:pPr>
        <w:rPr>
          <w:rFonts w:ascii="Times New Roman" w:hAnsi="Times New Roman" w:cs="Times New Roman"/>
          <w:sz w:val="24"/>
          <w:szCs w:val="24"/>
          <w:u w:val="single"/>
        </w:rPr>
      </w:pPr>
      <w:r w:rsidRPr="005340EA">
        <w:rPr>
          <w:rFonts w:ascii="Times New Roman" w:hAnsi="Times New Roman" w:cs="Times New Roman"/>
          <w:sz w:val="24"/>
          <w:szCs w:val="24"/>
          <w:u w:val="single"/>
        </w:rPr>
        <w:t>Key Assessments</w:t>
      </w:r>
    </w:p>
    <w:p w:rsidR="00EC1222" w:rsidRDefault="00EC1222" w:rsidP="00EC1222">
      <w:pPr>
        <w:rPr>
          <w:rFonts w:ascii="Times New Roman" w:hAnsi="Times New Roman" w:cs="Times New Roman"/>
          <w:sz w:val="24"/>
          <w:szCs w:val="24"/>
        </w:rPr>
      </w:pPr>
    </w:p>
    <w:p w:rsidR="00EC1222" w:rsidRPr="00EC1222" w:rsidRDefault="00EC1222" w:rsidP="00EC1222">
      <w:pPr>
        <w:rPr>
          <w:rFonts w:ascii="Times New Roman" w:hAnsi="Times New Roman" w:cs="Times New Roman"/>
          <w:sz w:val="24"/>
          <w:szCs w:val="24"/>
        </w:rPr>
      </w:pPr>
      <w:r>
        <w:rPr>
          <w:rFonts w:ascii="Times New Roman" w:hAnsi="Times New Roman" w:cs="Times New Roman"/>
          <w:sz w:val="24"/>
          <w:szCs w:val="24"/>
        </w:rPr>
        <w:t>Educator Disposition Assessment (EDA)</w:t>
      </w:r>
    </w:p>
    <w:p w:rsidR="0000293B" w:rsidRDefault="005340EA" w:rsidP="005340E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Collect Data : Select three candidates from EDUC 210/EDSP 303, two candidates from the elementary block, and two candidates from the secondary block and have the EDA completed by two course professors for each candidate.</w:t>
      </w:r>
    </w:p>
    <w:p w:rsidR="005340EA" w:rsidRDefault="005340EA" w:rsidP="005340E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Complete Inter-Rater Reliability: EDUC 210 and EDSP 303 course professor ratings will be reviewed for inter-rater agreement at a minimum of 80%.</w:t>
      </w:r>
    </w:p>
    <w:p w:rsidR="005340EA" w:rsidRDefault="005340EA" w:rsidP="005340E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Present findings to the EPP and stakeholders.</w:t>
      </w:r>
    </w:p>
    <w:p w:rsidR="005340EA" w:rsidRDefault="005340EA" w:rsidP="005340EA">
      <w:pPr>
        <w:rPr>
          <w:rFonts w:ascii="Times New Roman" w:hAnsi="Times New Roman" w:cs="Times New Roman"/>
          <w:sz w:val="24"/>
          <w:szCs w:val="24"/>
        </w:rPr>
      </w:pPr>
    </w:p>
    <w:p w:rsidR="005340EA" w:rsidRDefault="005340EA" w:rsidP="005340EA">
      <w:pPr>
        <w:rPr>
          <w:rFonts w:ascii="Times New Roman" w:hAnsi="Times New Roman" w:cs="Times New Roman"/>
          <w:sz w:val="24"/>
          <w:szCs w:val="24"/>
        </w:rPr>
      </w:pPr>
      <w:r>
        <w:rPr>
          <w:rFonts w:ascii="Times New Roman" w:hAnsi="Times New Roman" w:cs="Times New Roman"/>
          <w:sz w:val="24"/>
          <w:szCs w:val="24"/>
        </w:rPr>
        <w:t>Student Teacher Observation Tool (STOT)</w:t>
      </w:r>
    </w:p>
    <w:p w:rsidR="00372543" w:rsidRPr="00372543" w:rsidRDefault="00372543" w:rsidP="0037254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Training: Mentor teachers and university supervisors will be trained in the use of the STOT.</w:t>
      </w:r>
    </w:p>
    <w:p w:rsidR="005340EA" w:rsidRDefault="00372543" w:rsidP="005340EA">
      <w:pPr>
        <w:pStyle w:val="ListParagraph"/>
        <w:numPr>
          <w:ilvl w:val="0"/>
          <w:numId w:val="3"/>
        </w:numPr>
        <w:rPr>
          <w:rFonts w:ascii="Times New Roman" w:hAnsi="Times New Roman" w:cs="Times New Roman"/>
          <w:sz w:val="24"/>
          <w:szCs w:val="24"/>
        </w:rPr>
      </w:pPr>
      <w:r w:rsidRPr="00372543">
        <w:rPr>
          <w:rFonts w:ascii="Times New Roman" w:hAnsi="Times New Roman" w:cs="Times New Roman"/>
          <w:sz w:val="24"/>
          <w:szCs w:val="24"/>
        </w:rPr>
        <w:t xml:space="preserve">Collect </w:t>
      </w:r>
      <w:proofErr w:type="gramStart"/>
      <w:r w:rsidRPr="00372543">
        <w:rPr>
          <w:rFonts w:ascii="Times New Roman" w:hAnsi="Times New Roman" w:cs="Times New Roman"/>
          <w:sz w:val="24"/>
          <w:szCs w:val="24"/>
        </w:rPr>
        <w:t>Data :</w:t>
      </w:r>
      <w:proofErr w:type="gramEnd"/>
      <w:r w:rsidRPr="00372543">
        <w:rPr>
          <w:rFonts w:ascii="Times New Roman" w:hAnsi="Times New Roman" w:cs="Times New Roman"/>
          <w:sz w:val="24"/>
          <w:szCs w:val="24"/>
        </w:rPr>
        <w:t xml:space="preserve"> Select ten student teachers</w:t>
      </w:r>
      <w:r>
        <w:rPr>
          <w:rFonts w:ascii="Times New Roman" w:hAnsi="Times New Roman" w:cs="Times New Roman"/>
          <w:sz w:val="24"/>
          <w:szCs w:val="24"/>
        </w:rPr>
        <w:t xml:space="preserve">. The mentor teacher and the university supervisor will both observe a lesson and evaluate the student teacher using the STOT.  </w:t>
      </w:r>
    </w:p>
    <w:p w:rsidR="00372543" w:rsidRPr="00372543" w:rsidRDefault="00372543" w:rsidP="00372543">
      <w:pPr>
        <w:pStyle w:val="ListParagraph"/>
        <w:numPr>
          <w:ilvl w:val="0"/>
          <w:numId w:val="3"/>
        </w:numPr>
        <w:rPr>
          <w:rFonts w:ascii="Times New Roman" w:hAnsi="Times New Roman" w:cs="Times New Roman"/>
          <w:sz w:val="24"/>
          <w:szCs w:val="24"/>
        </w:rPr>
      </w:pPr>
      <w:r w:rsidRPr="00372543">
        <w:rPr>
          <w:rFonts w:ascii="Times New Roman" w:hAnsi="Times New Roman" w:cs="Times New Roman"/>
          <w:sz w:val="24"/>
          <w:szCs w:val="24"/>
        </w:rPr>
        <w:t>Complete</w:t>
      </w:r>
      <w:r>
        <w:rPr>
          <w:rFonts w:ascii="Times New Roman" w:hAnsi="Times New Roman" w:cs="Times New Roman"/>
          <w:sz w:val="24"/>
          <w:szCs w:val="24"/>
        </w:rPr>
        <w:t xml:space="preserve"> Inter-Rater Reliability: The mentor teacher and university supervisor lesson observation</w:t>
      </w:r>
      <w:r w:rsidRPr="00372543">
        <w:rPr>
          <w:rFonts w:ascii="Times New Roman" w:hAnsi="Times New Roman" w:cs="Times New Roman"/>
          <w:sz w:val="24"/>
          <w:szCs w:val="24"/>
        </w:rPr>
        <w:t xml:space="preserve"> ratings </w:t>
      </w:r>
      <w:r>
        <w:rPr>
          <w:rFonts w:ascii="Times New Roman" w:hAnsi="Times New Roman" w:cs="Times New Roman"/>
          <w:sz w:val="24"/>
          <w:szCs w:val="24"/>
        </w:rPr>
        <w:t xml:space="preserve">on the STOT </w:t>
      </w:r>
      <w:r w:rsidRPr="00372543">
        <w:rPr>
          <w:rFonts w:ascii="Times New Roman" w:hAnsi="Times New Roman" w:cs="Times New Roman"/>
          <w:sz w:val="24"/>
          <w:szCs w:val="24"/>
        </w:rPr>
        <w:t>will be reviewed for inter-rater agreement at a minimum of 80%.</w:t>
      </w:r>
    </w:p>
    <w:p w:rsidR="00372543" w:rsidRDefault="00372543" w:rsidP="00372543">
      <w:pPr>
        <w:pStyle w:val="ListParagraph"/>
        <w:numPr>
          <w:ilvl w:val="0"/>
          <w:numId w:val="3"/>
        </w:numPr>
        <w:rPr>
          <w:rFonts w:ascii="Times New Roman" w:hAnsi="Times New Roman" w:cs="Times New Roman"/>
          <w:sz w:val="24"/>
          <w:szCs w:val="24"/>
        </w:rPr>
      </w:pPr>
      <w:r w:rsidRPr="00372543">
        <w:rPr>
          <w:rFonts w:ascii="Times New Roman" w:hAnsi="Times New Roman" w:cs="Times New Roman"/>
          <w:sz w:val="24"/>
          <w:szCs w:val="24"/>
        </w:rPr>
        <w:t>Present findings to the EPP and stakeholders.</w:t>
      </w:r>
    </w:p>
    <w:p w:rsidR="00372543" w:rsidRDefault="00372543" w:rsidP="00372543">
      <w:pPr>
        <w:rPr>
          <w:rFonts w:ascii="Times New Roman" w:hAnsi="Times New Roman" w:cs="Times New Roman"/>
          <w:sz w:val="24"/>
          <w:szCs w:val="24"/>
        </w:rPr>
      </w:pPr>
    </w:p>
    <w:p w:rsidR="00372543" w:rsidRDefault="00372543" w:rsidP="00372543">
      <w:pPr>
        <w:rPr>
          <w:rFonts w:ascii="Times New Roman" w:hAnsi="Times New Roman" w:cs="Times New Roman"/>
          <w:sz w:val="24"/>
          <w:szCs w:val="24"/>
        </w:rPr>
      </w:pPr>
      <w:r>
        <w:rPr>
          <w:rFonts w:ascii="Times New Roman" w:hAnsi="Times New Roman" w:cs="Times New Roman"/>
          <w:sz w:val="24"/>
          <w:szCs w:val="24"/>
        </w:rPr>
        <w:t>TPACK Technology Integration Observation Tool (TIOT)</w:t>
      </w:r>
    </w:p>
    <w:p w:rsidR="00372543" w:rsidRPr="00372543" w:rsidRDefault="00372543" w:rsidP="00372543">
      <w:pPr>
        <w:pStyle w:val="ListParagraph"/>
        <w:numPr>
          <w:ilvl w:val="0"/>
          <w:numId w:val="5"/>
        </w:numPr>
        <w:rPr>
          <w:rFonts w:ascii="Times New Roman" w:hAnsi="Times New Roman" w:cs="Times New Roman"/>
          <w:sz w:val="24"/>
          <w:szCs w:val="24"/>
        </w:rPr>
      </w:pPr>
      <w:r w:rsidRPr="00372543">
        <w:rPr>
          <w:rFonts w:ascii="Times New Roman" w:hAnsi="Times New Roman" w:cs="Times New Roman"/>
          <w:sz w:val="24"/>
          <w:szCs w:val="24"/>
        </w:rPr>
        <w:t>Training: Mentor teachers and university supervisors will b</w:t>
      </w:r>
      <w:r>
        <w:rPr>
          <w:rFonts w:ascii="Times New Roman" w:hAnsi="Times New Roman" w:cs="Times New Roman"/>
          <w:sz w:val="24"/>
          <w:szCs w:val="24"/>
        </w:rPr>
        <w:t>e trained in the use of the TIOT</w:t>
      </w:r>
      <w:r w:rsidRPr="00372543">
        <w:rPr>
          <w:rFonts w:ascii="Times New Roman" w:hAnsi="Times New Roman" w:cs="Times New Roman"/>
          <w:sz w:val="24"/>
          <w:szCs w:val="24"/>
        </w:rPr>
        <w:t>.</w:t>
      </w:r>
    </w:p>
    <w:p w:rsidR="00372543" w:rsidRPr="00372543" w:rsidRDefault="00372543" w:rsidP="00372543">
      <w:pPr>
        <w:pStyle w:val="ListParagraph"/>
        <w:numPr>
          <w:ilvl w:val="0"/>
          <w:numId w:val="5"/>
        </w:numPr>
        <w:rPr>
          <w:rFonts w:ascii="Times New Roman" w:hAnsi="Times New Roman" w:cs="Times New Roman"/>
          <w:sz w:val="24"/>
          <w:szCs w:val="24"/>
        </w:rPr>
      </w:pPr>
      <w:r w:rsidRPr="00372543">
        <w:rPr>
          <w:rFonts w:ascii="Times New Roman" w:hAnsi="Times New Roman" w:cs="Times New Roman"/>
          <w:sz w:val="24"/>
          <w:szCs w:val="24"/>
        </w:rPr>
        <w:lastRenderedPageBreak/>
        <w:t xml:space="preserve">Collect </w:t>
      </w:r>
      <w:proofErr w:type="gramStart"/>
      <w:r w:rsidRPr="00372543">
        <w:rPr>
          <w:rFonts w:ascii="Times New Roman" w:hAnsi="Times New Roman" w:cs="Times New Roman"/>
          <w:sz w:val="24"/>
          <w:szCs w:val="24"/>
        </w:rPr>
        <w:t>Data :</w:t>
      </w:r>
      <w:proofErr w:type="gramEnd"/>
      <w:r w:rsidRPr="00372543">
        <w:rPr>
          <w:rFonts w:ascii="Times New Roman" w:hAnsi="Times New Roman" w:cs="Times New Roman"/>
          <w:sz w:val="24"/>
          <w:szCs w:val="24"/>
        </w:rPr>
        <w:t xml:space="preserve"> Select ten student teachers. The mentor teacher and the university supervisor will both observe a </w:t>
      </w:r>
      <w:r>
        <w:rPr>
          <w:rFonts w:ascii="Times New Roman" w:hAnsi="Times New Roman" w:cs="Times New Roman"/>
          <w:sz w:val="24"/>
          <w:szCs w:val="24"/>
        </w:rPr>
        <w:t xml:space="preserve">technology </w:t>
      </w:r>
      <w:r w:rsidRPr="00372543">
        <w:rPr>
          <w:rFonts w:ascii="Times New Roman" w:hAnsi="Times New Roman" w:cs="Times New Roman"/>
          <w:sz w:val="24"/>
          <w:szCs w:val="24"/>
        </w:rPr>
        <w:t>lesson and evaluate th</w:t>
      </w:r>
      <w:r>
        <w:rPr>
          <w:rFonts w:ascii="Times New Roman" w:hAnsi="Times New Roman" w:cs="Times New Roman"/>
          <w:sz w:val="24"/>
          <w:szCs w:val="24"/>
        </w:rPr>
        <w:t>e student teacher using the TIOT</w:t>
      </w:r>
      <w:r w:rsidRPr="00372543">
        <w:rPr>
          <w:rFonts w:ascii="Times New Roman" w:hAnsi="Times New Roman" w:cs="Times New Roman"/>
          <w:sz w:val="24"/>
          <w:szCs w:val="24"/>
        </w:rPr>
        <w:t xml:space="preserve">.  </w:t>
      </w:r>
    </w:p>
    <w:p w:rsidR="00372543" w:rsidRPr="00372543" w:rsidRDefault="00372543" w:rsidP="00372543">
      <w:pPr>
        <w:pStyle w:val="ListParagraph"/>
        <w:numPr>
          <w:ilvl w:val="0"/>
          <w:numId w:val="5"/>
        </w:numPr>
        <w:rPr>
          <w:rFonts w:ascii="Times New Roman" w:hAnsi="Times New Roman" w:cs="Times New Roman"/>
          <w:sz w:val="24"/>
          <w:szCs w:val="24"/>
        </w:rPr>
      </w:pPr>
      <w:r w:rsidRPr="00372543">
        <w:rPr>
          <w:rFonts w:ascii="Times New Roman" w:hAnsi="Times New Roman" w:cs="Times New Roman"/>
          <w:sz w:val="24"/>
          <w:szCs w:val="24"/>
        </w:rPr>
        <w:t>Complete Inter-Rater Reliability: The mentor teacher and university supervisor lesson</w:t>
      </w:r>
      <w:r>
        <w:rPr>
          <w:rFonts w:ascii="Times New Roman" w:hAnsi="Times New Roman" w:cs="Times New Roman"/>
          <w:sz w:val="24"/>
          <w:szCs w:val="24"/>
        </w:rPr>
        <w:t xml:space="preserve"> observation ratings on the TOIT</w:t>
      </w:r>
      <w:r w:rsidRPr="00372543">
        <w:rPr>
          <w:rFonts w:ascii="Times New Roman" w:hAnsi="Times New Roman" w:cs="Times New Roman"/>
          <w:sz w:val="24"/>
          <w:szCs w:val="24"/>
        </w:rPr>
        <w:t xml:space="preserve"> will be reviewed for inter-rater agreement at a minimum of 80%.</w:t>
      </w:r>
    </w:p>
    <w:p w:rsidR="00372543" w:rsidRDefault="00372543" w:rsidP="00372543">
      <w:pPr>
        <w:pStyle w:val="ListParagraph"/>
        <w:numPr>
          <w:ilvl w:val="0"/>
          <w:numId w:val="5"/>
        </w:numPr>
        <w:rPr>
          <w:rFonts w:ascii="Times New Roman" w:hAnsi="Times New Roman" w:cs="Times New Roman"/>
          <w:sz w:val="24"/>
          <w:szCs w:val="24"/>
        </w:rPr>
      </w:pPr>
      <w:r w:rsidRPr="00372543">
        <w:rPr>
          <w:rFonts w:ascii="Times New Roman" w:hAnsi="Times New Roman" w:cs="Times New Roman"/>
          <w:sz w:val="24"/>
          <w:szCs w:val="24"/>
        </w:rPr>
        <w:t>Present findings to the EPP and stakeholders.</w:t>
      </w:r>
    </w:p>
    <w:p w:rsidR="00372543" w:rsidRDefault="00372543" w:rsidP="00372543">
      <w:pPr>
        <w:rPr>
          <w:rFonts w:ascii="Times New Roman" w:hAnsi="Times New Roman" w:cs="Times New Roman"/>
          <w:sz w:val="24"/>
          <w:szCs w:val="24"/>
        </w:rPr>
      </w:pPr>
    </w:p>
    <w:p w:rsidR="00372543" w:rsidRPr="00372543" w:rsidRDefault="00372543" w:rsidP="00372543">
      <w:pPr>
        <w:rPr>
          <w:rFonts w:ascii="Times New Roman" w:hAnsi="Times New Roman" w:cs="Times New Roman"/>
          <w:sz w:val="24"/>
          <w:szCs w:val="24"/>
        </w:rPr>
      </w:pPr>
      <w:r>
        <w:rPr>
          <w:rFonts w:ascii="Times New Roman" w:hAnsi="Times New Roman" w:cs="Times New Roman"/>
          <w:sz w:val="24"/>
          <w:szCs w:val="24"/>
        </w:rPr>
        <w:t>WV Evaluation Rubric for Teachers (WVERT)</w:t>
      </w:r>
    </w:p>
    <w:p w:rsidR="00372543" w:rsidRPr="00372543" w:rsidRDefault="00372543" w:rsidP="00372543">
      <w:pPr>
        <w:pStyle w:val="ListParagraph"/>
        <w:numPr>
          <w:ilvl w:val="0"/>
          <w:numId w:val="5"/>
        </w:numPr>
        <w:rPr>
          <w:rFonts w:ascii="Times New Roman" w:hAnsi="Times New Roman" w:cs="Times New Roman"/>
          <w:sz w:val="24"/>
          <w:szCs w:val="24"/>
        </w:rPr>
      </w:pPr>
      <w:r w:rsidRPr="00372543">
        <w:rPr>
          <w:rFonts w:ascii="Times New Roman" w:hAnsi="Times New Roman" w:cs="Times New Roman"/>
          <w:sz w:val="24"/>
          <w:szCs w:val="24"/>
        </w:rPr>
        <w:t>Training: Mentor teachers and university supervisors will b</w:t>
      </w:r>
      <w:r>
        <w:rPr>
          <w:rFonts w:ascii="Times New Roman" w:hAnsi="Times New Roman" w:cs="Times New Roman"/>
          <w:sz w:val="24"/>
          <w:szCs w:val="24"/>
        </w:rPr>
        <w:t>e trained in the use of the WVERT</w:t>
      </w:r>
      <w:r w:rsidRPr="00372543">
        <w:rPr>
          <w:rFonts w:ascii="Times New Roman" w:hAnsi="Times New Roman" w:cs="Times New Roman"/>
          <w:sz w:val="24"/>
          <w:szCs w:val="24"/>
        </w:rPr>
        <w:t>.</w:t>
      </w:r>
    </w:p>
    <w:p w:rsidR="00372543" w:rsidRPr="00372543" w:rsidRDefault="00372543" w:rsidP="00372543">
      <w:pPr>
        <w:pStyle w:val="ListParagraph"/>
        <w:numPr>
          <w:ilvl w:val="0"/>
          <w:numId w:val="5"/>
        </w:numPr>
        <w:rPr>
          <w:rFonts w:ascii="Times New Roman" w:hAnsi="Times New Roman" w:cs="Times New Roman"/>
          <w:sz w:val="24"/>
          <w:szCs w:val="24"/>
        </w:rPr>
      </w:pPr>
      <w:r w:rsidRPr="00372543">
        <w:rPr>
          <w:rFonts w:ascii="Times New Roman" w:hAnsi="Times New Roman" w:cs="Times New Roman"/>
          <w:sz w:val="24"/>
          <w:szCs w:val="24"/>
        </w:rPr>
        <w:t xml:space="preserve">Collect </w:t>
      </w:r>
      <w:proofErr w:type="gramStart"/>
      <w:r w:rsidRPr="00372543">
        <w:rPr>
          <w:rFonts w:ascii="Times New Roman" w:hAnsi="Times New Roman" w:cs="Times New Roman"/>
          <w:sz w:val="24"/>
          <w:szCs w:val="24"/>
        </w:rPr>
        <w:t>Data :</w:t>
      </w:r>
      <w:proofErr w:type="gramEnd"/>
      <w:r w:rsidRPr="00372543">
        <w:rPr>
          <w:rFonts w:ascii="Times New Roman" w:hAnsi="Times New Roman" w:cs="Times New Roman"/>
          <w:sz w:val="24"/>
          <w:szCs w:val="24"/>
        </w:rPr>
        <w:t xml:space="preserve"> Select ten student teachers. The mentor teacher and the university</w:t>
      </w:r>
      <w:r>
        <w:rPr>
          <w:rFonts w:ascii="Times New Roman" w:hAnsi="Times New Roman" w:cs="Times New Roman"/>
          <w:sz w:val="24"/>
          <w:szCs w:val="24"/>
        </w:rPr>
        <w:t xml:space="preserve"> supervisor will both observe a </w:t>
      </w:r>
      <w:r w:rsidRPr="00372543">
        <w:rPr>
          <w:rFonts w:ascii="Times New Roman" w:hAnsi="Times New Roman" w:cs="Times New Roman"/>
          <w:sz w:val="24"/>
          <w:szCs w:val="24"/>
        </w:rPr>
        <w:t>lesson and evaluate th</w:t>
      </w:r>
      <w:r>
        <w:rPr>
          <w:rFonts w:ascii="Times New Roman" w:hAnsi="Times New Roman" w:cs="Times New Roman"/>
          <w:sz w:val="24"/>
          <w:szCs w:val="24"/>
        </w:rPr>
        <w:t>e student teacher using the WVERT</w:t>
      </w:r>
      <w:r w:rsidRPr="00372543">
        <w:rPr>
          <w:rFonts w:ascii="Times New Roman" w:hAnsi="Times New Roman" w:cs="Times New Roman"/>
          <w:sz w:val="24"/>
          <w:szCs w:val="24"/>
        </w:rPr>
        <w:t xml:space="preserve">.  </w:t>
      </w:r>
    </w:p>
    <w:p w:rsidR="00372543" w:rsidRPr="00372543" w:rsidRDefault="00372543" w:rsidP="00372543">
      <w:pPr>
        <w:pStyle w:val="ListParagraph"/>
        <w:numPr>
          <w:ilvl w:val="0"/>
          <w:numId w:val="5"/>
        </w:numPr>
        <w:rPr>
          <w:rFonts w:ascii="Times New Roman" w:hAnsi="Times New Roman" w:cs="Times New Roman"/>
          <w:sz w:val="24"/>
          <w:szCs w:val="24"/>
        </w:rPr>
      </w:pPr>
      <w:r w:rsidRPr="00372543">
        <w:rPr>
          <w:rFonts w:ascii="Times New Roman" w:hAnsi="Times New Roman" w:cs="Times New Roman"/>
          <w:sz w:val="24"/>
          <w:szCs w:val="24"/>
        </w:rPr>
        <w:t>Complete Inter-Rater Reliability: The mentor teacher and university supervisor lesson</w:t>
      </w:r>
      <w:r>
        <w:rPr>
          <w:rFonts w:ascii="Times New Roman" w:hAnsi="Times New Roman" w:cs="Times New Roman"/>
          <w:sz w:val="24"/>
          <w:szCs w:val="24"/>
        </w:rPr>
        <w:t xml:space="preserve"> observation ratings on the WVERT</w:t>
      </w:r>
      <w:r w:rsidRPr="00372543">
        <w:rPr>
          <w:rFonts w:ascii="Times New Roman" w:hAnsi="Times New Roman" w:cs="Times New Roman"/>
          <w:sz w:val="24"/>
          <w:szCs w:val="24"/>
        </w:rPr>
        <w:t xml:space="preserve"> will be reviewed for inter-rater agreement at a minimum of 80%.</w:t>
      </w:r>
    </w:p>
    <w:p w:rsidR="00372543" w:rsidRDefault="00372543" w:rsidP="00372543">
      <w:pPr>
        <w:pStyle w:val="ListParagraph"/>
        <w:numPr>
          <w:ilvl w:val="0"/>
          <w:numId w:val="5"/>
        </w:numPr>
        <w:rPr>
          <w:rFonts w:ascii="Times New Roman" w:hAnsi="Times New Roman" w:cs="Times New Roman"/>
          <w:sz w:val="24"/>
          <w:szCs w:val="24"/>
        </w:rPr>
      </w:pPr>
      <w:r w:rsidRPr="00372543">
        <w:rPr>
          <w:rFonts w:ascii="Times New Roman" w:hAnsi="Times New Roman" w:cs="Times New Roman"/>
          <w:sz w:val="24"/>
          <w:szCs w:val="24"/>
        </w:rPr>
        <w:t>Present findings to the EPP and stakeholders.</w:t>
      </w:r>
    </w:p>
    <w:p w:rsidR="00372543" w:rsidRPr="00372543" w:rsidRDefault="00372543" w:rsidP="00372543">
      <w:pPr>
        <w:pStyle w:val="ListParagraph"/>
        <w:rPr>
          <w:rFonts w:ascii="Times New Roman" w:hAnsi="Times New Roman" w:cs="Times New Roman"/>
          <w:sz w:val="24"/>
          <w:szCs w:val="24"/>
        </w:rPr>
      </w:pPr>
    </w:p>
    <w:p w:rsidR="00372543" w:rsidRPr="00372543" w:rsidRDefault="00372543" w:rsidP="00372543">
      <w:pPr>
        <w:pStyle w:val="ListParagraph"/>
        <w:rPr>
          <w:rFonts w:ascii="Times New Roman" w:hAnsi="Times New Roman" w:cs="Times New Roman"/>
          <w:sz w:val="24"/>
          <w:szCs w:val="24"/>
        </w:rPr>
      </w:pPr>
    </w:p>
    <w:sectPr w:rsidR="00372543" w:rsidRPr="00372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770"/>
    <w:multiLevelType w:val="hybridMultilevel"/>
    <w:tmpl w:val="8EEE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2001D"/>
    <w:multiLevelType w:val="hybridMultilevel"/>
    <w:tmpl w:val="02CA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5B1B9F"/>
    <w:multiLevelType w:val="hybridMultilevel"/>
    <w:tmpl w:val="AD74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5D083F"/>
    <w:multiLevelType w:val="hybridMultilevel"/>
    <w:tmpl w:val="FA6E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A63FC7"/>
    <w:multiLevelType w:val="hybridMultilevel"/>
    <w:tmpl w:val="CDD8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D22"/>
    <w:rsid w:val="0000293B"/>
    <w:rsid w:val="000058AD"/>
    <w:rsid w:val="0002548B"/>
    <w:rsid w:val="000932B1"/>
    <w:rsid w:val="001C7130"/>
    <w:rsid w:val="00201883"/>
    <w:rsid w:val="002233E8"/>
    <w:rsid w:val="002542AF"/>
    <w:rsid w:val="002B5B48"/>
    <w:rsid w:val="00367329"/>
    <w:rsid w:val="00372543"/>
    <w:rsid w:val="003A42E3"/>
    <w:rsid w:val="003B21E0"/>
    <w:rsid w:val="00412AC4"/>
    <w:rsid w:val="004207D3"/>
    <w:rsid w:val="0043489A"/>
    <w:rsid w:val="004A32EC"/>
    <w:rsid w:val="004E20C8"/>
    <w:rsid w:val="005340EA"/>
    <w:rsid w:val="006A7267"/>
    <w:rsid w:val="00701D22"/>
    <w:rsid w:val="00782CBD"/>
    <w:rsid w:val="007E0BD9"/>
    <w:rsid w:val="00873061"/>
    <w:rsid w:val="008F3B6A"/>
    <w:rsid w:val="00962A2B"/>
    <w:rsid w:val="00965833"/>
    <w:rsid w:val="00992FFA"/>
    <w:rsid w:val="00A04FA1"/>
    <w:rsid w:val="00AB2813"/>
    <w:rsid w:val="00B5722F"/>
    <w:rsid w:val="00BF2709"/>
    <w:rsid w:val="00D071EE"/>
    <w:rsid w:val="00D47481"/>
    <w:rsid w:val="00DD4366"/>
    <w:rsid w:val="00E21FD2"/>
    <w:rsid w:val="00E47A60"/>
    <w:rsid w:val="00EC1222"/>
    <w:rsid w:val="00F055C0"/>
    <w:rsid w:val="00FA3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1EE"/>
    <w:pPr>
      <w:ind w:left="720"/>
      <w:contextualSpacing/>
    </w:pPr>
  </w:style>
  <w:style w:type="table" w:styleId="TableGrid">
    <w:name w:val="Table Grid"/>
    <w:basedOn w:val="TableNormal"/>
    <w:uiPriority w:val="39"/>
    <w:rsid w:val="00D47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1EE"/>
    <w:pPr>
      <w:ind w:left="720"/>
      <w:contextualSpacing/>
    </w:pPr>
  </w:style>
  <w:style w:type="table" w:styleId="TableGrid">
    <w:name w:val="Table Grid"/>
    <w:basedOn w:val="TableNormal"/>
    <w:uiPriority w:val="39"/>
    <w:rsid w:val="00D47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363849">
      <w:bodyDiv w:val="1"/>
      <w:marLeft w:val="0"/>
      <w:marRight w:val="0"/>
      <w:marTop w:val="0"/>
      <w:marBottom w:val="0"/>
      <w:divBdr>
        <w:top w:val="none" w:sz="0" w:space="0" w:color="auto"/>
        <w:left w:val="none" w:sz="0" w:space="0" w:color="auto"/>
        <w:bottom w:val="none" w:sz="0" w:space="0" w:color="auto"/>
        <w:right w:val="none" w:sz="0" w:space="0" w:color="auto"/>
      </w:divBdr>
    </w:div>
    <w:div w:id="177127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1CE07AF7A744C88FF763E797D0480" ma:contentTypeVersion="4" ma:contentTypeDescription="Create a new document." ma:contentTypeScope="" ma:versionID="deec41bd9f5a3e66fd92662d99c3853b">
  <xsd:schema xmlns:xsd="http://www.w3.org/2001/XMLSchema" xmlns:xs="http://www.w3.org/2001/XMLSchema" xmlns:p="http://schemas.microsoft.com/office/2006/metadata/properties" xmlns:ns2="7d0fff0b-30fb-4b76-8746-08136f28edf1" targetNamespace="http://schemas.microsoft.com/office/2006/metadata/properties" ma:root="true" ma:fieldsID="516f605710cbd567108fb1431a776ae2" ns2:_="">
    <xsd:import namespace="7d0fff0b-30fb-4b76-8746-08136f28ed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fff0b-30fb-4b76-8746-08136f28e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377F65-F55D-44D7-A5A3-9F210122EC91}"/>
</file>

<file path=customXml/itemProps2.xml><?xml version="1.0" encoding="utf-8"?>
<ds:datastoreItem xmlns:ds="http://schemas.openxmlformats.org/officeDocument/2006/customXml" ds:itemID="{2C46C5B4-B9E0-4BB9-B33E-292A225D0289}"/>
</file>

<file path=customXml/itemProps3.xml><?xml version="1.0" encoding="utf-8"?>
<ds:datastoreItem xmlns:ds="http://schemas.openxmlformats.org/officeDocument/2006/customXml" ds:itemID="{1C272456-659F-4D06-8A2F-2B57C4CC58FF}"/>
</file>

<file path=docProps/app.xml><?xml version="1.0" encoding="utf-8"?>
<Properties xmlns="http://schemas.openxmlformats.org/officeDocument/2006/extended-properties" xmlns:vt="http://schemas.openxmlformats.org/officeDocument/2006/docPropsVTypes">
  <Template>305BEB9E</Template>
  <TotalTime>118</TotalTime>
  <Pages>10</Pages>
  <Words>3594</Words>
  <Characters>20489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Concord University</Company>
  <LinksUpToDate>false</LinksUpToDate>
  <CharactersWithSpaces>24035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Concord University</dc:creator>
  <cp:lastModifiedBy>Concord University</cp:lastModifiedBy>
  <cp:revision>4</cp:revision>
  <dcterms:created xsi:type="dcterms:W3CDTF">2019-06-20T20:17:00Z</dcterms:created>
  <dcterms:modified xsi:type="dcterms:W3CDTF">2019-06-21T16:39:00Z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0x010100DA41CE07AF7A744C88FF763E797D0480</vt:lpwstr>
  </property>
</Properties>
</file>